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7371" w:rsidRDefault="00C32F64" w:rsidP="00B9165B">
      <w:pPr>
        <w:spacing w:after="0" w:line="240" w:lineRule="auto"/>
        <w:rPr>
          <w:b/>
          <w:sz w:val="32"/>
        </w:rPr>
      </w:pPr>
      <w:r w:rsidRPr="00C32F64">
        <w:rPr>
          <w:noProof/>
          <w:lang w:eastAsia="zh-TW"/>
        </w:rPr>
        <w:pict>
          <v:shapetype id="_x0000_t202" coordsize="21600,21600" o:spt="202" path="m,l,21600r21600,l21600,xe">
            <v:stroke joinstyle="miter"/>
            <v:path gradientshapeok="t" o:connecttype="rect"/>
          </v:shapetype>
          <v:shape id="_x0000_s1026" type="#_x0000_t202" style="position:absolute;margin-left:56.25pt;margin-top:-4.1pt;width:382.5pt;height:97.1pt;z-index:251660288;mso-width-relative:margin;mso-height-relative:margin" strokecolor="white [3212]">
            <v:textbox>
              <w:txbxContent>
                <w:p w:rsidR="003D2C6B" w:rsidRDefault="000A3A32" w:rsidP="0090791E">
                  <w:pPr>
                    <w:jc w:val="center"/>
                  </w:pPr>
                  <w:r>
                    <w:rPr>
                      <w:noProof/>
                    </w:rPr>
                    <w:drawing>
                      <wp:inline distT="0" distB="0" distL="0" distR="0">
                        <wp:extent cx="1228725" cy="588074"/>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uad A Logo.jpg"/>
                                <pic:cNvPicPr/>
                              </pic:nvPicPr>
                              <pic:blipFill>
                                <a:blip r:embed="rId4">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246921" cy="596783"/>
                                </a:xfrm>
                                <a:prstGeom prst="rect">
                                  <a:avLst/>
                                </a:prstGeom>
                              </pic:spPr>
                            </pic:pic>
                          </a:graphicData>
                        </a:graphic>
                      </wp:inline>
                    </w:drawing>
                  </w:r>
                  <w:r w:rsidR="003D2C6B" w:rsidRPr="003D2C6B">
                    <w:rPr>
                      <w:noProof/>
                    </w:rPr>
                    <w:drawing>
                      <wp:inline distT="0" distB="0" distL="0" distR="0">
                        <wp:extent cx="1671835" cy="1113372"/>
                        <wp:effectExtent l="0" t="0" r="0" b="0"/>
                        <wp:docPr id="2" name="Picture 1" descr="C:\Users\gspainte\AppData\Local\Microsoft\Windows\Temporary Internet Files\Content.Word\2012 AZilg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spainte\AppData\Local\Microsoft\Windows\Temporary Internet Files\Content.Word\2012 AZilg logo.jpg"/>
                                <pic:cNvPicPr>
                                  <a:picLocks noChangeAspect="1" noChangeArrowheads="1"/>
                                </pic:cNvPicPr>
                              </pic:nvPicPr>
                              <pic:blipFill>
                                <a:blip r:embed="rId5" cstate="print"/>
                                <a:srcRect/>
                                <a:stretch>
                                  <a:fillRect/>
                                </a:stretch>
                              </pic:blipFill>
                              <pic:spPr bwMode="auto">
                                <a:xfrm>
                                  <a:off x="0" y="0"/>
                                  <a:ext cx="1677917" cy="1117423"/>
                                </a:xfrm>
                                <a:prstGeom prst="rect">
                                  <a:avLst/>
                                </a:prstGeom>
                                <a:noFill/>
                                <a:ln w="9525">
                                  <a:noFill/>
                                  <a:miter lim="800000"/>
                                  <a:headEnd/>
                                  <a:tailEnd/>
                                </a:ln>
                              </pic:spPr>
                            </pic:pic>
                          </a:graphicData>
                        </a:graphic>
                      </wp:inline>
                    </w:drawing>
                  </w:r>
                  <w:r>
                    <w:rPr>
                      <w:noProof/>
                    </w:rPr>
                    <w:drawing>
                      <wp:inline distT="0" distB="0" distL="0" distR="0">
                        <wp:extent cx="1066800" cy="594611"/>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6">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84363" cy="604400"/>
                                </a:xfrm>
                                <a:prstGeom prst="rect">
                                  <a:avLst/>
                                </a:prstGeom>
                                <a:noFill/>
                                <a:ln>
                                  <a:noFill/>
                                </a:ln>
                              </pic:spPr>
                            </pic:pic>
                          </a:graphicData>
                        </a:graphic>
                      </wp:inline>
                    </w:drawing>
                  </w:r>
                </w:p>
                <w:p w:rsidR="00A87371" w:rsidRDefault="00A87371" w:rsidP="0090791E">
                  <w:pPr>
                    <w:jc w:val="center"/>
                  </w:pPr>
                </w:p>
                <w:p w:rsidR="00A87371" w:rsidRDefault="00A87371" w:rsidP="0090791E">
                  <w:pPr>
                    <w:jc w:val="center"/>
                  </w:pPr>
                </w:p>
                <w:p w:rsidR="00A87371" w:rsidRDefault="00A87371" w:rsidP="0090791E">
                  <w:pPr>
                    <w:jc w:val="center"/>
                  </w:pPr>
                </w:p>
              </w:txbxContent>
            </v:textbox>
          </v:shape>
        </w:pict>
      </w:r>
    </w:p>
    <w:p w:rsidR="00A87371" w:rsidRDefault="00A87371" w:rsidP="00B9165B">
      <w:pPr>
        <w:spacing w:after="0" w:line="240" w:lineRule="auto"/>
        <w:rPr>
          <w:b/>
          <w:sz w:val="32"/>
        </w:rPr>
      </w:pPr>
    </w:p>
    <w:p w:rsidR="00B9165B" w:rsidRDefault="00B9165B" w:rsidP="00B9165B">
      <w:pPr>
        <w:spacing w:after="0" w:line="240" w:lineRule="auto"/>
        <w:rPr>
          <w:b/>
          <w:sz w:val="32"/>
          <w:highlight w:val="yellow"/>
        </w:rPr>
      </w:pPr>
    </w:p>
    <w:p w:rsidR="00A87371" w:rsidRDefault="00A87371" w:rsidP="000A3A32">
      <w:pPr>
        <w:spacing w:after="0" w:line="240" w:lineRule="auto"/>
        <w:rPr>
          <w:b/>
          <w:sz w:val="28"/>
          <w:highlight w:val="yellow"/>
        </w:rPr>
      </w:pPr>
    </w:p>
    <w:p w:rsidR="000A3A32" w:rsidRDefault="000A3A32" w:rsidP="000A3A32">
      <w:pPr>
        <w:tabs>
          <w:tab w:val="left" w:pos="630"/>
        </w:tabs>
        <w:spacing w:after="0" w:line="240" w:lineRule="auto"/>
        <w:rPr>
          <w:b/>
          <w:sz w:val="28"/>
          <w:highlight w:val="yellow"/>
        </w:rPr>
      </w:pPr>
    </w:p>
    <w:p w:rsidR="00655969" w:rsidRDefault="000A3A32" w:rsidP="00A87371">
      <w:pPr>
        <w:spacing w:after="0" w:line="240" w:lineRule="auto"/>
        <w:rPr>
          <w:i/>
          <w:sz w:val="20"/>
          <w:szCs w:val="20"/>
        </w:rPr>
      </w:pPr>
      <w:r>
        <w:rPr>
          <w:i/>
          <w:sz w:val="20"/>
          <w:szCs w:val="20"/>
        </w:rPr>
        <w:t xml:space="preserve">          </w:t>
      </w:r>
      <w:r w:rsidR="00A87371" w:rsidRPr="0030216D">
        <w:rPr>
          <w:noProof/>
          <w:bdr w:val="single" w:sz="4" w:space="0" w:color="auto"/>
        </w:rPr>
        <w:drawing>
          <wp:inline distT="0" distB="0" distL="0" distR="0">
            <wp:extent cx="2209800" cy="102711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eting-discussion.jpg"/>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209800" cy="1027115"/>
                    </a:xfrm>
                    <a:prstGeom prst="rect">
                      <a:avLst/>
                    </a:prstGeom>
                  </pic:spPr>
                </pic:pic>
              </a:graphicData>
            </a:graphic>
          </wp:inline>
        </w:drawing>
      </w:r>
      <w:r w:rsidR="00A87371" w:rsidRPr="008E7DF2">
        <w:rPr>
          <w:noProof/>
        </w:rPr>
        <w:drawing>
          <wp:inline distT="0" distB="0" distL="0" distR="0">
            <wp:extent cx="1390650" cy="10287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n_new.jpg"/>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391856" cy="1029592"/>
                    </a:xfrm>
                    <a:prstGeom prst="rect">
                      <a:avLst/>
                    </a:prstGeom>
                  </pic:spPr>
                </pic:pic>
              </a:graphicData>
            </a:graphic>
          </wp:inline>
        </w:drawing>
      </w:r>
      <w:r w:rsidR="00A87371" w:rsidRPr="008E7DF2">
        <w:rPr>
          <w:noProof/>
        </w:rPr>
        <w:drawing>
          <wp:inline distT="0" distB="0" distL="0" distR="0">
            <wp:extent cx="2247900" cy="1054573"/>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eting-lecture.jpg"/>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247900" cy="1054573"/>
                    </a:xfrm>
                    <a:prstGeom prst="rect">
                      <a:avLst/>
                    </a:prstGeom>
                  </pic:spPr>
                </pic:pic>
              </a:graphicData>
            </a:graphic>
          </wp:inline>
        </w:drawing>
      </w:r>
    </w:p>
    <w:p w:rsidR="000A3A32" w:rsidRDefault="000A3A32" w:rsidP="00A87371">
      <w:pPr>
        <w:spacing w:after="0" w:line="240" w:lineRule="auto"/>
        <w:rPr>
          <w:i/>
          <w:sz w:val="20"/>
          <w:szCs w:val="20"/>
        </w:rPr>
      </w:pPr>
    </w:p>
    <w:p w:rsidR="002861D8" w:rsidRDefault="002861D8" w:rsidP="00A87371">
      <w:pPr>
        <w:pStyle w:val="NoSpacing"/>
        <w:jc w:val="center"/>
        <w:rPr>
          <w:rFonts w:ascii="Times New Roman" w:hAnsi="Times New Roman" w:cs="Times New Roman"/>
          <w:b/>
          <w:sz w:val="32"/>
          <w:szCs w:val="32"/>
        </w:rPr>
      </w:pPr>
    </w:p>
    <w:p w:rsidR="00A87371" w:rsidRPr="00A87371" w:rsidRDefault="00B85603" w:rsidP="00A87371">
      <w:pPr>
        <w:pStyle w:val="NoSpacing"/>
        <w:jc w:val="center"/>
        <w:rPr>
          <w:rFonts w:ascii="Times New Roman" w:hAnsi="Times New Roman" w:cs="Times New Roman"/>
          <w:b/>
        </w:rPr>
      </w:pPr>
      <w:r>
        <w:rPr>
          <w:rFonts w:ascii="Times New Roman" w:hAnsi="Times New Roman" w:cs="Times New Roman"/>
          <w:b/>
          <w:sz w:val="32"/>
          <w:szCs w:val="32"/>
        </w:rPr>
        <w:t>15</w:t>
      </w:r>
      <w:r w:rsidRPr="00B85603">
        <w:rPr>
          <w:rFonts w:ascii="Times New Roman" w:hAnsi="Times New Roman" w:cs="Times New Roman"/>
          <w:b/>
          <w:sz w:val="32"/>
          <w:szCs w:val="32"/>
          <w:vertAlign w:val="superscript"/>
        </w:rPr>
        <w:t>th</w:t>
      </w:r>
      <w:r>
        <w:rPr>
          <w:rFonts w:ascii="Times New Roman" w:hAnsi="Times New Roman" w:cs="Times New Roman"/>
          <w:b/>
          <w:sz w:val="32"/>
          <w:szCs w:val="32"/>
        </w:rPr>
        <w:t xml:space="preserve"> </w:t>
      </w:r>
      <w:r w:rsidR="00A87371">
        <w:rPr>
          <w:rFonts w:ascii="Times New Roman" w:hAnsi="Times New Roman" w:cs="Times New Roman"/>
          <w:b/>
          <w:sz w:val="32"/>
          <w:szCs w:val="32"/>
        </w:rPr>
        <w:t xml:space="preserve">Annual Compliance </w:t>
      </w:r>
      <w:r w:rsidR="00A87371" w:rsidRPr="00A87371">
        <w:rPr>
          <w:rFonts w:ascii="Times New Roman" w:hAnsi="Times New Roman" w:cs="Times New Roman"/>
          <w:b/>
          <w:sz w:val="32"/>
          <w:szCs w:val="32"/>
        </w:rPr>
        <w:t>Conference</w:t>
      </w:r>
      <w:r w:rsidR="00A87371" w:rsidRPr="00A87371">
        <w:rPr>
          <w:rFonts w:ascii="Times New Roman" w:hAnsi="Times New Roman" w:cs="Times New Roman"/>
          <w:b/>
        </w:rPr>
        <w:t xml:space="preserve">                                                     </w:t>
      </w:r>
    </w:p>
    <w:p w:rsidR="00A87371" w:rsidRPr="00A87371" w:rsidRDefault="00A87371" w:rsidP="00A87371">
      <w:pPr>
        <w:pStyle w:val="NoSpacing"/>
        <w:jc w:val="center"/>
        <w:rPr>
          <w:rFonts w:ascii="Times New Roman" w:hAnsi="Times New Roman" w:cs="Times New Roman"/>
          <w:sz w:val="20"/>
          <w:szCs w:val="20"/>
        </w:rPr>
      </w:pPr>
      <w:r w:rsidRPr="00A87371">
        <w:rPr>
          <w:rFonts w:ascii="Times New Roman" w:hAnsi="Times New Roman" w:cs="Times New Roman"/>
        </w:rPr>
        <w:t xml:space="preserve">The </w:t>
      </w:r>
      <w:r w:rsidRPr="00A87371">
        <w:rPr>
          <w:rFonts w:ascii="Times New Roman" w:hAnsi="Times New Roman" w:cs="Times New Roman"/>
          <w:sz w:val="20"/>
          <w:szCs w:val="20"/>
        </w:rPr>
        <w:t>Black Canyon Conference Center</w:t>
      </w:r>
    </w:p>
    <w:p w:rsidR="00A87371" w:rsidRPr="00A87371" w:rsidRDefault="00A87371" w:rsidP="00A87371">
      <w:pPr>
        <w:pStyle w:val="NoSpacing"/>
        <w:jc w:val="center"/>
        <w:rPr>
          <w:rFonts w:ascii="Times New Roman" w:hAnsi="Times New Roman" w:cs="Times New Roman"/>
          <w:sz w:val="20"/>
          <w:szCs w:val="20"/>
        </w:rPr>
      </w:pPr>
      <w:r w:rsidRPr="00A87371">
        <w:rPr>
          <w:rFonts w:ascii="Times New Roman" w:hAnsi="Times New Roman" w:cs="Times New Roman"/>
          <w:sz w:val="20"/>
          <w:szCs w:val="20"/>
        </w:rPr>
        <w:t>9440 N. 25</w:t>
      </w:r>
      <w:r w:rsidRPr="00A87371">
        <w:rPr>
          <w:rFonts w:ascii="Times New Roman" w:hAnsi="Times New Roman" w:cs="Times New Roman"/>
          <w:sz w:val="20"/>
          <w:szCs w:val="20"/>
          <w:vertAlign w:val="superscript"/>
        </w:rPr>
        <w:t>th</w:t>
      </w:r>
      <w:r w:rsidRPr="00A87371">
        <w:rPr>
          <w:rFonts w:ascii="Times New Roman" w:hAnsi="Times New Roman" w:cs="Times New Roman"/>
          <w:sz w:val="20"/>
          <w:szCs w:val="20"/>
        </w:rPr>
        <w:t xml:space="preserve"> Avenue - Phoenix, AZ 85040 </w:t>
      </w:r>
      <w:r w:rsidR="00905B93">
        <w:rPr>
          <w:rFonts w:ascii="Times New Roman" w:hAnsi="Times New Roman" w:cs="Times New Roman"/>
          <w:sz w:val="20"/>
          <w:szCs w:val="20"/>
        </w:rPr>
        <w:t xml:space="preserve">– November 15 &amp; </w:t>
      </w:r>
      <w:r>
        <w:rPr>
          <w:rFonts w:ascii="Times New Roman" w:hAnsi="Times New Roman" w:cs="Times New Roman"/>
          <w:sz w:val="20"/>
          <w:szCs w:val="20"/>
        </w:rPr>
        <w:t>16</w:t>
      </w:r>
      <w:r w:rsidRPr="00A87371">
        <w:rPr>
          <w:rFonts w:ascii="Times New Roman" w:hAnsi="Times New Roman" w:cs="Times New Roman"/>
          <w:sz w:val="20"/>
          <w:szCs w:val="20"/>
        </w:rPr>
        <w:t xml:space="preserve">, 2012       </w:t>
      </w:r>
    </w:p>
    <w:p w:rsidR="00A87371" w:rsidRDefault="00C32F64" w:rsidP="00A87371">
      <w:pPr>
        <w:pStyle w:val="NoSpacing"/>
        <w:jc w:val="center"/>
        <w:rPr>
          <w:rStyle w:val="Hyperlink"/>
          <w:rFonts w:ascii="Times New Roman" w:hAnsi="Times New Roman" w:cs="Times New Roman"/>
          <w:i/>
          <w:sz w:val="18"/>
          <w:szCs w:val="18"/>
        </w:rPr>
      </w:pPr>
      <w:hyperlink r:id="rId10" w:history="1">
        <w:r w:rsidR="00A87371" w:rsidRPr="00AD78E7">
          <w:rPr>
            <w:rStyle w:val="Hyperlink"/>
            <w:rFonts w:ascii="Times New Roman" w:hAnsi="Times New Roman" w:cs="Times New Roman"/>
            <w:i/>
            <w:sz w:val="18"/>
            <w:szCs w:val="18"/>
          </w:rPr>
          <w:t>http://www.blackcanyonconferencecenter.com</w:t>
        </w:r>
      </w:hyperlink>
    </w:p>
    <w:p w:rsidR="00A87371" w:rsidRDefault="00A87371" w:rsidP="00A87371">
      <w:pPr>
        <w:pStyle w:val="NoSpacing"/>
        <w:jc w:val="center"/>
        <w:rPr>
          <w:rStyle w:val="Hyperlink"/>
          <w:rFonts w:ascii="Times New Roman" w:hAnsi="Times New Roman" w:cs="Times New Roman"/>
          <w:i/>
          <w:sz w:val="18"/>
          <w:szCs w:val="18"/>
        </w:rPr>
      </w:pPr>
    </w:p>
    <w:p w:rsidR="002861D8" w:rsidRDefault="002861D8" w:rsidP="0016702B">
      <w:pPr>
        <w:pStyle w:val="NoSpacing"/>
        <w:jc w:val="center"/>
        <w:rPr>
          <w:rStyle w:val="Hyperlink"/>
          <w:rFonts w:ascii="Times New Roman" w:hAnsi="Times New Roman" w:cs="Times New Roman"/>
          <w:b/>
          <w:color w:val="auto"/>
          <w:sz w:val="32"/>
          <w:szCs w:val="32"/>
          <w:u w:val="none"/>
        </w:rPr>
      </w:pPr>
    </w:p>
    <w:p w:rsidR="0031166F" w:rsidRDefault="0016702B" w:rsidP="0016702B">
      <w:pPr>
        <w:pStyle w:val="NoSpacing"/>
        <w:jc w:val="center"/>
        <w:rPr>
          <w:rStyle w:val="Hyperlink"/>
          <w:rFonts w:ascii="Times New Roman" w:hAnsi="Times New Roman" w:cs="Times New Roman"/>
          <w:b/>
          <w:color w:val="auto"/>
          <w:sz w:val="32"/>
          <w:szCs w:val="32"/>
          <w:u w:val="none"/>
        </w:rPr>
      </w:pPr>
      <w:r>
        <w:rPr>
          <w:rStyle w:val="Hyperlink"/>
          <w:rFonts w:ascii="Times New Roman" w:hAnsi="Times New Roman" w:cs="Times New Roman"/>
          <w:b/>
          <w:color w:val="auto"/>
          <w:sz w:val="32"/>
          <w:szCs w:val="32"/>
          <w:u w:val="none"/>
        </w:rPr>
        <w:t>Pre-Conference (November 15, 2012)</w:t>
      </w:r>
    </w:p>
    <w:tbl>
      <w:tblPr>
        <w:tblStyle w:val="TableGrid"/>
        <w:tblW w:w="11070" w:type="dxa"/>
        <w:tblInd w:w="-522" w:type="dxa"/>
        <w:tblLook w:val="04A0"/>
      </w:tblPr>
      <w:tblGrid>
        <w:gridCol w:w="1060"/>
        <w:gridCol w:w="1058"/>
        <w:gridCol w:w="6252"/>
        <w:gridCol w:w="2700"/>
      </w:tblGrid>
      <w:tr w:rsidR="0031166F" w:rsidRPr="00655969" w:rsidTr="00E06EE6">
        <w:trPr>
          <w:trHeight w:val="287"/>
        </w:trPr>
        <w:tc>
          <w:tcPr>
            <w:tcW w:w="1060" w:type="dxa"/>
            <w:shd w:val="pct10" w:color="auto" w:fill="auto"/>
          </w:tcPr>
          <w:p w:rsidR="0031166F" w:rsidRPr="005A4ACE" w:rsidRDefault="0031166F" w:rsidP="00E06EE6">
            <w:pPr>
              <w:jc w:val="center"/>
              <w:rPr>
                <w:b/>
                <w:sz w:val="20"/>
                <w:szCs w:val="20"/>
              </w:rPr>
            </w:pPr>
            <w:r w:rsidRPr="005A4ACE">
              <w:rPr>
                <w:b/>
                <w:sz w:val="20"/>
                <w:szCs w:val="20"/>
              </w:rPr>
              <w:t>Start</w:t>
            </w:r>
          </w:p>
        </w:tc>
        <w:tc>
          <w:tcPr>
            <w:tcW w:w="1058" w:type="dxa"/>
            <w:shd w:val="pct10" w:color="auto" w:fill="auto"/>
          </w:tcPr>
          <w:p w:rsidR="0031166F" w:rsidRPr="005A4ACE" w:rsidRDefault="0031166F" w:rsidP="00E06EE6">
            <w:pPr>
              <w:jc w:val="center"/>
              <w:rPr>
                <w:b/>
                <w:sz w:val="20"/>
                <w:szCs w:val="20"/>
              </w:rPr>
            </w:pPr>
            <w:r w:rsidRPr="005A4ACE">
              <w:rPr>
                <w:b/>
                <w:sz w:val="20"/>
                <w:szCs w:val="20"/>
              </w:rPr>
              <w:t>End</w:t>
            </w:r>
          </w:p>
        </w:tc>
        <w:tc>
          <w:tcPr>
            <w:tcW w:w="6252" w:type="dxa"/>
            <w:shd w:val="pct10" w:color="auto" w:fill="auto"/>
          </w:tcPr>
          <w:p w:rsidR="0031166F" w:rsidRPr="00655969" w:rsidRDefault="0031166F" w:rsidP="00E06EE6">
            <w:pPr>
              <w:jc w:val="both"/>
              <w:rPr>
                <w:b/>
                <w:sz w:val="20"/>
                <w:szCs w:val="20"/>
              </w:rPr>
            </w:pPr>
            <w:r w:rsidRPr="00655969">
              <w:rPr>
                <w:b/>
                <w:sz w:val="20"/>
                <w:szCs w:val="20"/>
              </w:rPr>
              <w:t>Topic</w:t>
            </w:r>
          </w:p>
        </w:tc>
        <w:tc>
          <w:tcPr>
            <w:tcW w:w="2700" w:type="dxa"/>
            <w:shd w:val="pct10" w:color="auto" w:fill="auto"/>
          </w:tcPr>
          <w:p w:rsidR="0031166F" w:rsidRPr="00655969" w:rsidRDefault="0031166F" w:rsidP="00E06EE6">
            <w:pPr>
              <w:rPr>
                <w:b/>
                <w:sz w:val="20"/>
                <w:szCs w:val="20"/>
              </w:rPr>
            </w:pPr>
            <w:r w:rsidRPr="00655969">
              <w:rPr>
                <w:b/>
                <w:sz w:val="20"/>
                <w:szCs w:val="20"/>
              </w:rPr>
              <w:t>Presenter(s)</w:t>
            </w:r>
          </w:p>
        </w:tc>
      </w:tr>
      <w:tr w:rsidR="0031166F" w:rsidRPr="00655969" w:rsidTr="00E06EE6">
        <w:trPr>
          <w:trHeight w:val="287"/>
        </w:trPr>
        <w:tc>
          <w:tcPr>
            <w:tcW w:w="1060" w:type="dxa"/>
          </w:tcPr>
          <w:p w:rsidR="0031166F" w:rsidRPr="005A4ACE" w:rsidRDefault="0031166F" w:rsidP="00E06EE6">
            <w:pPr>
              <w:jc w:val="center"/>
              <w:rPr>
                <w:sz w:val="20"/>
                <w:szCs w:val="20"/>
              </w:rPr>
            </w:pPr>
            <w:r w:rsidRPr="005A4ACE">
              <w:rPr>
                <w:sz w:val="20"/>
                <w:szCs w:val="20"/>
              </w:rPr>
              <w:t>7:00am</w:t>
            </w:r>
          </w:p>
        </w:tc>
        <w:tc>
          <w:tcPr>
            <w:tcW w:w="1058" w:type="dxa"/>
          </w:tcPr>
          <w:p w:rsidR="0031166F" w:rsidRPr="005A4ACE" w:rsidRDefault="0031166F" w:rsidP="0031166F">
            <w:pPr>
              <w:jc w:val="center"/>
              <w:rPr>
                <w:sz w:val="20"/>
                <w:szCs w:val="20"/>
              </w:rPr>
            </w:pPr>
            <w:r>
              <w:rPr>
                <w:sz w:val="20"/>
                <w:szCs w:val="20"/>
              </w:rPr>
              <w:t>7</w:t>
            </w:r>
            <w:r w:rsidRPr="005A4ACE">
              <w:rPr>
                <w:sz w:val="20"/>
                <w:szCs w:val="20"/>
              </w:rPr>
              <w:t>:</w:t>
            </w:r>
            <w:r>
              <w:rPr>
                <w:sz w:val="20"/>
                <w:szCs w:val="20"/>
              </w:rPr>
              <w:t>45a</w:t>
            </w:r>
            <w:r w:rsidRPr="005A4ACE">
              <w:rPr>
                <w:sz w:val="20"/>
                <w:szCs w:val="20"/>
              </w:rPr>
              <w:t>m</w:t>
            </w:r>
          </w:p>
        </w:tc>
        <w:tc>
          <w:tcPr>
            <w:tcW w:w="6252" w:type="dxa"/>
          </w:tcPr>
          <w:p w:rsidR="0031166F" w:rsidRPr="00655969" w:rsidRDefault="0031166F" w:rsidP="00E06EE6">
            <w:pPr>
              <w:jc w:val="both"/>
              <w:rPr>
                <w:sz w:val="20"/>
                <w:szCs w:val="20"/>
              </w:rPr>
            </w:pPr>
            <w:r w:rsidRPr="00655969">
              <w:rPr>
                <w:sz w:val="20"/>
                <w:szCs w:val="20"/>
              </w:rPr>
              <w:t>Registration</w:t>
            </w:r>
          </w:p>
        </w:tc>
        <w:tc>
          <w:tcPr>
            <w:tcW w:w="2700" w:type="dxa"/>
          </w:tcPr>
          <w:p w:rsidR="0031166F" w:rsidRPr="00655969" w:rsidRDefault="0031166F" w:rsidP="00E06EE6">
            <w:pPr>
              <w:rPr>
                <w:sz w:val="20"/>
                <w:szCs w:val="20"/>
              </w:rPr>
            </w:pPr>
            <w:proofErr w:type="spellStart"/>
            <w:r w:rsidRPr="00655969">
              <w:rPr>
                <w:sz w:val="20"/>
                <w:szCs w:val="20"/>
              </w:rPr>
              <w:t>AZilg</w:t>
            </w:r>
            <w:proofErr w:type="spellEnd"/>
          </w:p>
        </w:tc>
      </w:tr>
      <w:tr w:rsidR="0031166F" w:rsidRPr="00655969" w:rsidTr="00E06EE6">
        <w:trPr>
          <w:trHeight w:val="302"/>
        </w:trPr>
        <w:tc>
          <w:tcPr>
            <w:tcW w:w="1060" w:type="dxa"/>
          </w:tcPr>
          <w:p w:rsidR="0031166F" w:rsidRPr="005A4ACE" w:rsidRDefault="0031166F" w:rsidP="00E06EE6">
            <w:pPr>
              <w:jc w:val="center"/>
              <w:rPr>
                <w:sz w:val="20"/>
                <w:szCs w:val="20"/>
              </w:rPr>
            </w:pPr>
            <w:r>
              <w:rPr>
                <w:sz w:val="20"/>
                <w:szCs w:val="20"/>
              </w:rPr>
              <w:t>7:45am</w:t>
            </w:r>
          </w:p>
        </w:tc>
        <w:tc>
          <w:tcPr>
            <w:tcW w:w="1058" w:type="dxa"/>
          </w:tcPr>
          <w:p w:rsidR="0031166F" w:rsidRDefault="0031166F" w:rsidP="0031166F">
            <w:pPr>
              <w:jc w:val="center"/>
              <w:rPr>
                <w:sz w:val="20"/>
                <w:szCs w:val="20"/>
              </w:rPr>
            </w:pPr>
            <w:r>
              <w:rPr>
                <w:sz w:val="20"/>
                <w:szCs w:val="20"/>
              </w:rPr>
              <w:t>8:00am</w:t>
            </w:r>
          </w:p>
        </w:tc>
        <w:tc>
          <w:tcPr>
            <w:tcW w:w="6252" w:type="dxa"/>
          </w:tcPr>
          <w:p w:rsidR="0031166F" w:rsidRDefault="0031166F" w:rsidP="00E06EE6">
            <w:pPr>
              <w:jc w:val="both"/>
              <w:rPr>
                <w:sz w:val="20"/>
                <w:szCs w:val="20"/>
              </w:rPr>
            </w:pPr>
            <w:r w:rsidRPr="00655969">
              <w:rPr>
                <w:sz w:val="20"/>
                <w:szCs w:val="20"/>
              </w:rPr>
              <w:t>Welcoming Remarks</w:t>
            </w:r>
          </w:p>
          <w:p w:rsidR="0068717E" w:rsidRDefault="0068717E" w:rsidP="00E06EE6">
            <w:pPr>
              <w:jc w:val="both"/>
              <w:rPr>
                <w:sz w:val="20"/>
                <w:szCs w:val="20"/>
              </w:rPr>
            </w:pPr>
          </w:p>
          <w:p w:rsidR="0068717E" w:rsidRDefault="0068717E" w:rsidP="00E06EE6">
            <w:pPr>
              <w:jc w:val="both"/>
              <w:rPr>
                <w:sz w:val="20"/>
                <w:szCs w:val="20"/>
              </w:rPr>
            </w:pPr>
            <w:r w:rsidRPr="0068717E">
              <w:rPr>
                <w:sz w:val="20"/>
                <w:szCs w:val="20"/>
              </w:rPr>
              <w:t>This pre-conference workshop will focus on the theory and fundamentals of adverse impact and compensation analyses. The basics will be discussed and real-world examples from attendee organizations will be encouraged. Building off the basics; hands-on analyses will be conducted beginning with data preparation, and concluding with analyses conducted in Biddle Consulting Group’s proprietary software (demo versions to be provided to all attendees). This hands-on workshop is for all levels of EEO/AA practitioner.</w:t>
            </w:r>
          </w:p>
          <w:p w:rsidR="0068717E" w:rsidRPr="00655969" w:rsidRDefault="0068717E" w:rsidP="00E06EE6">
            <w:pPr>
              <w:jc w:val="both"/>
              <w:rPr>
                <w:sz w:val="20"/>
                <w:szCs w:val="20"/>
              </w:rPr>
            </w:pPr>
          </w:p>
        </w:tc>
        <w:tc>
          <w:tcPr>
            <w:tcW w:w="2700" w:type="dxa"/>
          </w:tcPr>
          <w:p w:rsidR="0031166F" w:rsidRPr="00655969" w:rsidRDefault="0031166F" w:rsidP="00E06EE6">
            <w:pPr>
              <w:rPr>
                <w:sz w:val="20"/>
                <w:szCs w:val="20"/>
              </w:rPr>
            </w:pPr>
            <w:r w:rsidRPr="00655969">
              <w:rPr>
                <w:sz w:val="20"/>
                <w:szCs w:val="20"/>
              </w:rPr>
              <w:t>John A Garza</w:t>
            </w:r>
            <w:r>
              <w:rPr>
                <w:sz w:val="20"/>
                <w:szCs w:val="20"/>
              </w:rPr>
              <w:t xml:space="preserve">, </w:t>
            </w:r>
          </w:p>
          <w:p w:rsidR="0031166F" w:rsidRDefault="0031166F" w:rsidP="0031166F">
            <w:pPr>
              <w:rPr>
                <w:sz w:val="20"/>
                <w:szCs w:val="20"/>
              </w:rPr>
            </w:pPr>
            <w:proofErr w:type="spellStart"/>
            <w:r>
              <w:rPr>
                <w:sz w:val="20"/>
                <w:szCs w:val="20"/>
              </w:rPr>
              <w:t>AZilg</w:t>
            </w:r>
            <w:proofErr w:type="spellEnd"/>
            <w:r>
              <w:rPr>
                <w:sz w:val="20"/>
                <w:szCs w:val="20"/>
              </w:rPr>
              <w:t xml:space="preserve"> </w:t>
            </w:r>
            <w:r w:rsidRPr="00655969">
              <w:rPr>
                <w:sz w:val="20"/>
                <w:szCs w:val="20"/>
              </w:rPr>
              <w:t>President</w:t>
            </w:r>
          </w:p>
          <w:p w:rsidR="007A4DDD" w:rsidRDefault="007A4DDD" w:rsidP="0031166F">
            <w:pPr>
              <w:rPr>
                <w:sz w:val="20"/>
                <w:szCs w:val="20"/>
              </w:rPr>
            </w:pPr>
          </w:p>
          <w:p w:rsidR="007A4DDD" w:rsidRPr="00655969" w:rsidRDefault="007A4DDD" w:rsidP="007A4DDD">
            <w:pPr>
              <w:rPr>
                <w:sz w:val="20"/>
                <w:szCs w:val="20"/>
              </w:rPr>
            </w:pPr>
          </w:p>
        </w:tc>
      </w:tr>
      <w:tr w:rsidR="007A4DDD" w:rsidRPr="00655969" w:rsidTr="00E06EE6">
        <w:trPr>
          <w:trHeight w:val="302"/>
        </w:trPr>
        <w:tc>
          <w:tcPr>
            <w:tcW w:w="1060" w:type="dxa"/>
          </w:tcPr>
          <w:p w:rsidR="007A4DDD" w:rsidRPr="005A4ACE" w:rsidRDefault="007A4DDD" w:rsidP="00E06EE6">
            <w:pPr>
              <w:jc w:val="center"/>
              <w:rPr>
                <w:sz w:val="20"/>
                <w:szCs w:val="20"/>
              </w:rPr>
            </w:pPr>
            <w:r w:rsidRPr="005A4ACE">
              <w:rPr>
                <w:sz w:val="20"/>
                <w:szCs w:val="20"/>
              </w:rPr>
              <w:t>8:00am</w:t>
            </w:r>
          </w:p>
        </w:tc>
        <w:tc>
          <w:tcPr>
            <w:tcW w:w="1058" w:type="dxa"/>
          </w:tcPr>
          <w:p w:rsidR="007A4DDD" w:rsidRPr="005A4ACE" w:rsidRDefault="007A4DDD" w:rsidP="0031166F">
            <w:pPr>
              <w:jc w:val="center"/>
              <w:rPr>
                <w:sz w:val="20"/>
                <w:szCs w:val="20"/>
              </w:rPr>
            </w:pPr>
            <w:r>
              <w:rPr>
                <w:sz w:val="20"/>
                <w:szCs w:val="20"/>
              </w:rPr>
              <w:t>9</w:t>
            </w:r>
            <w:r w:rsidRPr="005A4ACE">
              <w:rPr>
                <w:sz w:val="20"/>
                <w:szCs w:val="20"/>
              </w:rPr>
              <w:t>:0</w:t>
            </w:r>
            <w:r>
              <w:rPr>
                <w:sz w:val="20"/>
                <w:szCs w:val="20"/>
              </w:rPr>
              <w:t>0</w:t>
            </w:r>
            <w:r w:rsidRPr="005A4ACE">
              <w:rPr>
                <w:sz w:val="20"/>
                <w:szCs w:val="20"/>
              </w:rPr>
              <w:t>am</w:t>
            </w:r>
          </w:p>
        </w:tc>
        <w:tc>
          <w:tcPr>
            <w:tcW w:w="6252" w:type="dxa"/>
          </w:tcPr>
          <w:p w:rsidR="007A4DDD" w:rsidRPr="00655969" w:rsidRDefault="007A4DDD" w:rsidP="00E06EE6">
            <w:pPr>
              <w:jc w:val="both"/>
              <w:rPr>
                <w:sz w:val="20"/>
                <w:szCs w:val="20"/>
              </w:rPr>
            </w:pPr>
            <w:r w:rsidRPr="0031166F">
              <w:rPr>
                <w:b/>
                <w:sz w:val="20"/>
                <w:szCs w:val="20"/>
              </w:rPr>
              <w:t>AAP Basics</w:t>
            </w:r>
            <w:r>
              <w:rPr>
                <w:sz w:val="20"/>
                <w:szCs w:val="20"/>
              </w:rPr>
              <w:t xml:space="preserve"> (Lecture)</w:t>
            </w:r>
          </w:p>
        </w:tc>
        <w:tc>
          <w:tcPr>
            <w:tcW w:w="2700" w:type="dxa"/>
            <w:vMerge w:val="restart"/>
          </w:tcPr>
          <w:p w:rsidR="007A4DDD" w:rsidRPr="007A4DDD" w:rsidRDefault="007A4DDD" w:rsidP="007A4DDD">
            <w:pPr>
              <w:rPr>
                <w:rFonts w:eastAsia="Times New Roman" w:cstheme="minorHAnsi"/>
                <w:sz w:val="20"/>
                <w:szCs w:val="20"/>
              </w:rPr>
            </w:pPr>
            <w:r w:rsidRPr="007A4DDD">
              <w:rPr>
                <w:rFonts w:eastAsia="Times New Roman" w:cstheme="minorHAnsi"/>
                <w:sz w:val="20"/>
                <w:szCs w:val="20"/>
              </w:rPr>
              <w:t>Patrick M. Nooren, Ph.D.,</w:t>
            </w:r>
          </w:p>
          <w:p w:rsidR="007A4DDD" w:rsidRPr="007A4DDD" w:rsidRDefault="007A4DDD" w:rsidP="007A4DDD">
            <w:pPr>
              <w:rPr>
                <w:rFonts w:eastAsia="Times New Roman" w:cstheme="minorHAnsi"/>
                <w:sz w:val="20"/>
                <w:szCs w:val="20"/>
              </w:rPr>
            </w:pPr>
            <w:r w:rsidRPr="007A4DDD">
              <w:rPr>
                <w:rFonts w:eastAsia="Times New Roman" w:cstheme="minorHAnsi"/>
                <w:sz w:val="20"/>
                <w:szCs w:val="20"/>
              </w:rPr>
              <w:t xml:space="preserve">Executive Vice President, Biddle Consulting Group, Inc., </w:t>
            </w:r>
          </w:p>
          <w:p w:rsidR="007A4DDD" w:rsidRPr="007A4DDD" w:rsidRDefault="007A4DDD" w:rsidP="007A4DDD">
            <w:pPr>
              <w:rPr>
                <w:rFonts w:eastAsia="Times New Roman" w:cstheme="minorHAnsi"/>
                <w:sz w:val="20"/>
                <w:szCs w:val="20"/>
              </w:rPr>
            </w:pPr>
          </w:p>
          <w:p w:rsidR="007A4DDD" w:rsidRPr="007A4DDD" w:rsidRDefault="007A4DDD" w:rsidP="007A4DDD">
            <w:pPr>
              <w:rPr>
                <w:rFonts w:eastAsia="Times New Roman" w:cstheme="minorHAnsi"/>
                <w:sz w:val="20"/>
                <w:szCs w:val="20"/>
              </w:rPr>
            </w:pPr>
            <w:r w:rsidRPr="007A4DDD">
              <w:rPr>
                <w:rFonts w:eastAsia="Times New Roman" w:cstheme="minorHAnsi"/>
                <w:sz w:val="20"/>
                <w:szCs w:val="20"/>
              </w:rPr>
              <w:t>Dan Kuang, Ph.D</w:t>
            </w:r>
            <w:proofErr w:type="gramStart"/>
            <w:r w:rsidRPr="007A4DDD">
              <w:rPr>
                <w:rFonts w:eastAsia="Times New Roman" w:cstheme="minorHAnsi"/>
                <w:sz w:val="20"/>
                <w:szCs w:val="20"/>
              </w:rPr>
              <w:t>.</w:t>
            </w:r>
            <w:proofErr w:type="gramEnd"/>
            <w:r w:rsidRPr="007A4DDD">
              <w:rPr>
                <w:rFonts w:eastAsia="Times New Roman" w:cstheme="minorHAnsi"/>
                <w:sz w:val="20"/>
                <w:szCs w:val="20"/>
              </w:rPr>
              <w:br/>
              <w:t>Vice President - Legal and Audit Support Services, Biddle Consulting Group, Inc.</w:t>
            </w:r>
          </w:p>
          <w:p w:rsidR="007A4DDD" w:rsidRPr="00655969" w:rsidRDefault="007A4DDD" w:rsidP="007A4DDD">
            <w:pPr>
              <w:rPr>
                <w:sz w:val="20"/>
                <w:szCs w:val="20"/>
              </w:rPr>
            </w:pPr>
          </w:p>
        </w:tc>
      </w:tr>
      <w:tr w:rsidR="007A4DDD" w:rsidRPr="00655969" w:rsidTr="00E06EE6">
        <w:trPr>
          <w:trHeight w:val="287"/>
        </w:trPr>
        <w:tc>
          <w:tcPr>
            <w:tcW w:w="1060" w:type="dxa"/>
          </w:tcPr>
          <w:p w:rsidR="007A4DDD" w:rsidRPr="005A4ACE" w:rsidRDefault="007A4DDD" w:rsidP="0031166F">
            <w:pPr>
              <w:jc w:val="center"/>
              <w:rPr>
                <w:sz w:val="20"/>
                <w:szCs w:val="20"/>
              </w:rPr>
            </w:pPr>
            <w:r>
              <w:rPr>
                <w:sz w:val="20"/>
                <w:szCs w:val="20"/>
              </w:rPr>
              <w:t>9</w:t>
            </w:r>
            <w:r w:rsidRPr="005A4ACE">
              <w:rPr>
                <w:sz w:val="20"/>
                <w:szCs w:val="20"/>
              </w:rPr>
              <w:t>:0</w:t>
            </w:r>
            <w:r>
              <w:rPr>
                <w:sz w:val="20"/>
                <w:szCs w:val="20"/>
              </w:rPr>
              <w:t>0</w:t>
            </w:r>
            <w:r w:rsidRPr="005A4ACE">
              <w:rPr>
                <w:sz w:val="20"/>
                <w:szCs w:val="20"/>
              </w:rPr>
              <w:t>am</w:t>
            </w:r>
          </w:p>
        </w:tc>
        <w:tc>
          <w:tcPr>
            <w:tcW w:w="1058" w:type="dxa"/>
          </w:tcPr>
          <w:p w:rsidR="007A4DDD" w:rsidRPr="005A4ACE" w:rsidRDefault="007A4DDD" w:rsidP="0031166F">
            <w:pPr>
              <w:jc w:val="center"/>
              <w:rPr>
                <w:sz w:val="20"/>
                <w:szCs w:val="20"/>
              </w:rPr>
            </w:pPr>
            <w:r>
              <w:rPr>
                <w:sz w:val="20"/>
                <w:szCs w:val="20"/>
              </w:rPr>
              <w:t>10</w:t>
            </w:r>
            <w:r w:rsidRPr="005A4ACE">
              <w:rPr>
                <w:sz w:val="20"/>
                <w:szCs w:val="20"/>
              </w:rPr>
              <w:t>:</w:t>
            </w:r>
            <w:r>
              <w:rPr>
                <w:sz w:val="20"/>
                <w:szCs w:val="20"/>
              </w:rPr>
              <w:t>00</w:t>
            </w:r>
            <w:r w:rsidRPr="005A4ACE">
              <w:rPr>
                <w:sz w:val="20"/>
                <w:szCs w:val="20"/>
              </w:rPr>
              <w:t>am</w:t>
            </w:r>
          </w:p>
        </w:tc>
        <w:tc>
          <w:tcPr>
            <w:tcW w:w="6252" w:type="dxa"/>
          </w:tcPr>
          <w:p w:rsidR="007A4DDD" w:rsidRPr="00655969" w:rsidRDefault="007A4DDD" w:rsidP="00E06EE6">
            <w:pPr>
              <w:jc w:val="both"/>
              <w:rPr>
                <w:sz w:val="20"/>
                <w:szCs w:val="20"/>
              </w:rPr>
            </w:pPr>
            <w:r w:rsidRPr="0031166F">
              <w:rPr>
                <w:b/>
                <w:sz w:val="20"/>
                <w:szCs w:val="20"/>
              </w:rPr>
              <w:t>Adverse Impact Analysis</w:t>
            </w:r>
            <w:r>
              <w:rPr>
                <w:sz w:val="20"/>
                <w:szCs w:val="20"/>
              </w:rPr>
              <w:t xml:space="preserve"> (Lecture)</w:t>
            </w:r>
          </w:p>
        </w:tc>
        <w:tc>
          <w:tcPr>
            <w:tcW w:w="2700" w:type="dxa"/>
            <w:vMerge/>
          </w:tcPr>
          <w:p w:rsidR="007A4DDD" w:rsidRPr="00655969" w:rsidRDefault="007A4DDD" w:rsidP="00E06EE6">
            <w:pPr>
              <w:rPr>
                <w:sz w:val="20"/>
                <w:szCs w:val="20"/>
              </w:rPr>
            </w:pPr>
          </w:p>
        </w:tc>
      </w:tr>
      <w:tr w:rsidR="007A4DDD" w:rsidRPr="00655969" w:rsidTr="00BC6EE2">
        <w:trPr>
          <w:trHeight w:val="395"/>
        </w:trPr>
        <w:tc>
          <w:tcPr>
            <w:tcW w:w="1060" w:type="dxa"/>
            <w:tcBorders>
              <w:bottom w:val="single" w:sz="4" w:space="0" w:color="auto"/>
            </w:tcBorders>
          </w:tcPr>
          <w:p w:rsidR="007A4DDD" w:rsidRPr="005A4ACE" w:rsidRDefault="007A4DDD" w:rsidP="0031166F">
            <w:pPr>
              <w:jc w:val="center"/>
              <w:rPr>
                <w:sz w:val="20"/>
                <w:szCs w:val="20"/>
              </w:rPr>
            </w:pPr>
            <w:r w:rsidRPr="005A4ACE">
              <w:rPr>
                <w:sz w:val="20"/>
                <w:szCs w:val="20"/>
              </w:rPr>
              <w:t>10:0</w:t>
            </w:r>
            <w:r>
              <w:rPr>
                <w:sz w:val="20"/>
                <w:szCs w:val="20"/>
              </w:rPr>
              <w:t>0</w:t>
            </w:r>
            <w:r w:rsidRPr="005A4ACE">
              <w:rPr>
                <w:sz w:val="20"/>
                <w:szCs w:val="20"/>
              </w:rPr>
              <w:t>am</w:t>
            </w:r>
          </w:p>
        </w:tc>
        <w:tc>
          <w:tcPr>
            <w:tcW w:w="1058" w:type="dxa"/>
            <w:tcBorders>
              <w:bottom w:val="single" w:sz="4" w:space="0" w:color="auto"/>
            </w:tcBorders>
          </w:tcPr>
          <w:p w:rsidR="007A4DDD" w:rsidRPr="005A4ACE" w:rsidRDefault="007A4DDD" w:rsidP="00E06EE6">
            <w:pPr>
              <w:jc w:val="center"/>
              <w:rPr>
                <w:sz w:val="20"/>
                <w:szCs w:val="20"/>
              </w:rPr>
            </w:pPr>
            <w:r w:rsidRPr="005A4ACE">
              <w:rPr>
                <w:sz w:val="20"/>
                <w:szCs w:val="20"/>
              </w:rPr>
              <w:t>10:15am</w:t>
            </w:r>
          </w:p>
        </w:tc>
        <w:tc>
          <w:tcPr>
            <w:tcW w:w="6252" w:type="dxa"/>
            <w:tcBorders>
              <w:bottom w:val="single" w:sz="4" w:space="0" w:color="auto"/>
            </w:tcBorders>
          </w:tcPr>
          <w:p w:rsidR="007A4DDD" w:rsidRPr="00655969" w:rsidRDefault="007A4DDD" w:rsidP="00E06EE6">
            <w:pPr>
              <w:jc w:val="both"/>
              <w:rPr>
                <w:rFonts w:cstheme="minorHAnsi"/>
                <w:sz w:val="20"/>
                <w:szCs w:val="20"/>
              </w:rPr>
            </w:pPr>
            <w:r>
              <w:rPr>
                <w:rFonts w:cstheme="minorHAnsi"/>
                <w:sz w:val="20"/>
                <w:szCs w:val="20"/>
              </w:rPr>
              <w:t>BREAK</w:t>
            </w:r>
          </w:p>
        </w:tc>
        <w:tc>
          <w:tcPr>
            <w:tcW w:w="2700" w:type="dxa"/>
            <w:vMerge/>
          </w:tcPr>
          <w:p w:rsidR="007A4DDD" w:rsidRPr="00655969" w:rsidRDefault="007A4DDD" w:rsidP="00E06EE6">
            <w:pPr>
              <w:rPr>
                <w:rFonts w:cstheme="minorHAnsi"/>
                <w:sz w:val="20"/>
                <w:szCs w:val="20"/>
              </w:rPr>
            </w:pPr>
          </w:p>
        </w:tc>
      </w:tr>
      <w:tr w:rsidR="007A4DDD" w:rsidRPr="00655969" w:rsidTr="00E06EE6">
        <w:trPr>
          <w:trHeight w:val="287"/>
        </w:trPr>
        <w:tc>
          <w:tcPr>
            <w:tcW w:w="1060" w:type="dxa"/>
            <w:shd w:val="clear" w:color="auto" w:fill="auto"/>
          </w:tcPr>
          <w:p w:rsidR="007A4DDD" w:rsidRPr="005A4ACE" w:rsidRDefault="007A4DDD" w:rsidP="00E06EE6">
            <w:pPr>
              <w:jc w:val="center"/>
              <w:rPr>
                <w:sz w:val="20"/>
                <w:szCs w:val="20"/>
              </w:rPr>
            </w:pPr>
            <w:r w:rsidRPr="005A4ACE">
              <w:rPr>
                <w:sz w:val="20"/>
                <w:szCs w:val="20"/>
              </w:rPr>
              <w:t>10:15am</w:t>
            </w:r>
          </w:p>
        </w:tc>
        <w:tc>
          <w:tcPr>
            <w:tcW w:w="1058" w:type="dxa"/>
            <w:shd w:val="clear" w:color="auto" w:fill="auto"/>
          </w:tcPr>
          <w:p w:rsidR="007A4DDD" w:rsidRPr="005A4ACE" w:rsidRDefault="007A4DDD" w:rsidP="00E06EE6">
            <w:pPr>
              <w:jc w:val="center"/>
              <w:rPr>
                <w:sz w:val="20"/>
                <w:szCs w:val="20"/>
              </w:rPr>
            </w:pPr>
            <w:r w:rsidRPr="005A4ACE">
              <w:rPr>
                <w:sz w:val="20"/>
                <w:szCs w:val="20"/>
              </w:rPr>
              <w:t>11:30am</w:t>
            </w:r>
          </w:p>
        </w:tc>
        <w:tc>
          <w:tcPr>
            <w:tcW w:w="6252" w:type="dxa"/>
            <w:shd w:val="clear" w:color="auto" w:fill="auto"/>
          </w:tcPr>
          <w:p w:rsidR="007A4DDD" w:rsidRPr="0031166F" w:rsidRDefault="007A4DDD" w:rsidP="00E06EE6">
            <w:pPr>
              <w:jc w:val="both"/>
              <w:rPr>
                <w:rFonts w:cstheme="minorHAnsi"/>
                <w:sz w:val="20"/>
                <w:szCs w:val="20"/>
              </w:rPr>
            </w:pPr>
            <w:r w:rsidRPr="0031166F">
              <w:rPr>
                <w:rFonts w:cstheme="minorHAnsi"/>
                <w:b/>
                <w:sz w:val="20"/>
              </w:rPr>
              <w:t>Adverse Impact Analysis</w:t>
            </w:r>
            <w:r>
              <w:rPr>
                <w:rFonts w:cstheme="minorHAnsi"/>
                <w:sz w:val="20"/>
              </w:rPr>
              <w:t xml:space="preserve"> (Hands-On Workshop)</w:t>
            </w:r>
          </w:p>
          <w:p w:rsidR="007A4DDD" w:rsidRPr="000A26FD" w:rsidRDefault="007A4DDD" w:rsidP="00E06EE6">
            <w:pPr>
              <w:jc w:val="both"/>
              <w:rPr>
                <w:rFonts w:cstheme="minorHAnsi"/>
                <w:sz w:val="20"/>
                <w:szCs w:val="20"/>
              </w:rPr>
            </w:pPr>
          </w:p>
        </w:tc>
        <w:tc>
          <w:tcPr>
            <w:tcW w:w="2700" w:type="dxa"/>
            <w:vMerge/>
            <w:shd w:val="clear" w:color="auto" w:fill="auto"/>
          </w:tcPr>
          <w:p w:rsidR="007A4DDD" w:rsidRPr="00655969" w:rsidRDefault="007A4DDD" w:rsidP="00E06EE6">
            <w:pPr>
              <w:autoSpaceDE w:val="0"/>
              <w:autoSpaceDN w:val="0"/>
              <w:adjustRightInd w:val="0"/>
              <w:rPr>
                <w:rFonts w:cstheme="minorHAnsi"/>
                <w:sz w:val="20"/>
                <w:szCs w:val="20"/>
              </w:rPr>
            </w:pPr>
          </w:p>
        </w:tc>
      </w:tr>
      <w:tr w:rsidR="007A4DDD" w:rsidRPr="00655969" w:rsidTr="00E06EE6">
        <w:trPr>
          <w:trHeight w:val="588"/>
        </w:trPr>
        <w:tc>
          <w:tcPr>
            <w:tcW w:w="1060" w:type="dxa"/>
          </w:tcPr>
          <w:p w:rsidR="007A4DDD" w:rsidRPr="005A4ACE" w:rsidRDefault="007A4DDD" w:rsidP="0031166F">
            <w:pPr>
              <w:jc w:val="center"/>
              <w:rPr>
                <w:sz w:val="20"/>
                <w:szCs w:val="20"/>
              </w:rPr>
            </w:pPr>
            <w:r w:rsidRPr="005A4ACE">
              <w:rPr>
                <w:sz w:val="20"/>
                <w:szCs w:val="20"/>
              </w:rPr>
              <w:t>11:</w:t>
            </w:r>
            <w:r>
              <w:rPr>
                <w:sz w:val="20"/>
                <w:szCs w:val="20"/>
              </w:rPr>
              <w:t>30</w:t>
            </w:r>
            <w:r w:rsidRPr="005A4ACE">
              <w:rPr>
                <w:sz w:val="20"/>
                <w:szCs w:val="20"/>
              </w:rPr>
              <w:t>am</w:t>
            </w:r>
          </w:p>
        </w:tc>
        <w:tc>
          <w:tcPr>
            <w:tcW w:w="1058" w:type="dxa"/>
          </w:tcPr>
          <w:p w:rsidR="007A4DDD" w:rsidRPr="005A4ACE" w:rsidRDefault="007A4DDD" w:rsidP="0031166F">
            <w:pPr>
              <w:rPr>
                <w:sz w:val="20"/>
                <w:szCs w:val="20"/>
              </w:rPr>
            </w:pPr>
            <w:r>
              <w:rPr>
                <w:sz w:val="20"/>
                <w:szCs w:val="20"/>
              </w:rPr>
              <w:t>12</w:t>
            </w:r>
            <w:r w:rsidRPr="005A4ACE">
              <w:rPr>
                <w:sz w:val="20"/>
                <w:szCs w:val="20"/>
              </w:rPr>
              <w:t>:</w:t>
            </w:r>
            <w:r>
              <w:rPr>
                <w:sz w:val="20"/>
                <w:szCs w:val="20"/>
              </w:rPr>
              <w:t>30</w:t>
            </w:r>
            <w:r w:rsidRPr="005A4ACE">
              <w:rPr>
                <w:sz w:val="20"/>
                <w:szCs w:val="20"/>
              </w:rPr>
              <w:t>pm</w:t>
            </w:r>
          </w:p>
        </w:tc>
        <w:tc>
          <w:tcPr>
            <w:tcW w:w="6252" w:type="dxa"/>
          </w:tcPr>
          <w:p w:rsidR="007A4DDD" w:rsidRPr="0031166F" w:rsidRDefault="007A4DDD" w:rsidP="0031166F">
            <w:pPr>
              <w:jc w:val="both"/>
              <w:rPr>
                <w:rFonts w:cstheme="minorHAnsi"/>
                <w:sz w:val="20"/>
                <w:szCs w:val="20"/>
              </w:rPr>
            </w:pPr>
            <w:r w:rsidRPr="0031166F">
              <w:rPr>
                <w:rFonts w:cstheme="minorHAnsi"/>
                <w:sz w:val="20"/>
                <w:szCs w:val="20"/>
              </w:rPr>
              <w:t>LUNCH</w:t>
            </w:r>
          </w:p>
        </w:tc>
        <w:tc>
          <w:tcPr>
            <w:tcW w:w="2700" w:type="dxa"/>
            <w:vMerge/>
          </w:tcPr>
          <w:p w:rsidR="007A4DDD" w:rsidRPr="00655969" w:rsidRDefault="007A4DDD" w:rsidP="00E06EE6">
            <w:pPr>
              <w:rPr>
                <w:rFonts w:cstheme="minorHAnsi"/>
                <w:sz w:val="20"/>
                <w:szCs w:val="20"/>
              </w:rPr>
            </w:pPr>
          </w:p>
        </w:tc>
      </w:tr>
      <w:tr w:rsidR="007A4DDD" w:rsidRPr="00655969" w:rsidTr="00E06EE6">
        <w:trPr>
          <w:trHeight w:val="287"/>
        </w:trPr>
        <w:tc>
          <w:tcPr>
            <w:tcW w:w="1060" w:type="dxa"/>
          </w:tcPr>
          <w:p w:rsidR="007A4DDD" w:rsidRPr="005A4ACE" w:rsidRDefault="007A4DDD" w:rsidP="0031166F">
            <w:pPr>
              <w:jc w:val="center"/>
              <w:rPr>
                <w:sz w:val="20"/>
                <w:szCs w:val="20"/>
              </w:rPr>
            </w:pPr>
            <w:r>
              <w:rPr>
                <w:sz w:val="20"/>
                <w:szCs w:val="20"/>
              </w:rPr>
              <w:t>12</w:t>
            </w:r>
            <w:r w:rsidRPr="005A4ACE">
              <w:rPr>
                <w:sz w:val="20"/>
                <w:szCs w:val="20"/>
              </w:rPr>
              <w:t>:</w:t>
            </w:r>
            <w:r>
              <w:rPr>
                <w:sz w:val="20"/>
                <w:szCs w:val="20"/>
              </w:rPr>
              <w:t>30</w:t>
            </w:r>
            <w:r w:rsidRPr="005A4ACE">
              <w:rPr>
                <w:sz w:val="20"/>
                <w:szCs w:val="20"/>
              </w:rPr>
              <w:t>pm</w:t>
            </w:r>
          </w:p>
        </w:tc>
        <w:tc>
          <w:tcPr>
            <w:tcW w:w="1058" w:type="dxa"/>
          </w:tcPr>
          <w:p w:rsidR="007A4DDD" w:rsidRPr="005A4ACE" w:rsidRDefault="007A4DDD" w:rsidP="0031166F">
            <w:pPr>
              <w:rPr>
                <w:sz w:val="20"/>
                <w:szCs w:val="20"/>
              </w:rPr>
            </w:pPr>
            <w:r>
              <w:rPr>
                <w:sz w:val="20"/>
                <w:szCs w:val="20"/>
              </w:rPr>
              <w:t>1</w:t>
            </w:r>
            <w:r w:rsidRPr="005A4ACE">
              <w:rPr>
                <w:sz w:val="20"/>
                <w:szCs w:val="20"/>
              </w:rPr>
              <w:t>:</w:t>
            </w:r>
            <w:r>
              <w:rPr>
                <w:sz w:val="20"/>
                <w:szCs w:val="20"/>
              </w:rPr>
              <w:t>4</w:t>
            </w:r>
            <w:r w:rsidRPr="005A4ACE">
              <w:rPr>
                <w:sz w:val="20"/>
                <w:szCs w:val="20"/>
              </w:rPr>
              <w:t>5pm</w:t>
            </w:r>
          </w:p>
        </w:tc>
        <w:tc>
          <w:tcPr>
            <w:tcW w:w="6252" w:type="dxa"/>
          </w:tcPr>
          <w:p w:rsidR="007A4DDD" w:rsidRPr="00655969" w:rsidRDefault="007A4DDD" w:rsidP="00E06EE6">
            <w:pPr>
              <w:jc w:val="both"/>
              <w:rPr>
                <w:sz w:val="20"/>
                <w:szCs w:val="20"/>
              </w:rPr>
            </w:pPr>
            <w:r w:rsidRPr="0031166F">
              <w:rPr>
                <w:b/>
                <w:sz w:val="20"/>
                <w:szCs w:val="20"/>
              </w:rPr>
              <w:t>Compensation Analysis</w:t>
            </w:r>
            <w:r>
              <w:rPr>
                <w:sz w:val="20"/>
                <w:szCs w:val="20"/>
              </w:rPr>
              <w:t xml:space="preserve"> (Lecture)</w:t>
            </w:r>
          </w:p>
        </w:tc>
        <w:tc>
          <w:tcPr>
            <w:tcW w:w="2700" w:type="dxa"/>
            <w:vMerge/>
          </w:tcPr>
          <w:p w:rsidR="007A4DDD" w:rsidRPr="00655969" w:rsidRDefault="007A4DDD" w:rsidP="00E06EE6">
            <w:pPr>
              <w:rPr>
                <w:sz w:val="20"/>
                <w:szCs w:val="20"/>
              </w:rPr>
            </w:pPr>
          </w:p>
        </w:tc>
      </w:tr>
      <w:tr w:rsidR="007A4DDD" w:rsidRPr="00655969" w:rsidTr="00E06EE6">
        <w:trPr>
          <w:trHeight w:val="302"/>
        </w:trPr>
        <w:tc>
          <w:tcPr>
            <w:tcW w:w="1060" w:type="dxa"/>
          </w:tcPr>
          <w:p w:rsidR="007A4DDD" w:rsidRPr="005A4ACE" w:rsidRDefault="007A4DDD" w:rsidP="0031166F">
            <w:pPr>
              <w:jc w:val="center"/>
              <w:rPr>
                <w:sz w:val="20"/>
                <w:szCs w:val="20"/>
              </w:rPr>
            </w:pPr>
            <w:r>
              <w:rPr>
                <w:sz w:val="20"/>
                <w:szCs w:val="20"/>
              </w:rPr>
              <w:t>1</w:t>
            </w:r>
            <w:r w:rsidRPr="005A4ACE">
              <w:rPr>
                <w:sz w:val="20"/>
                <w:szCs w:val="20"/>
              </w:rPr>
              <w:t>:</w:t>
            </w:r>
            <w:r>
              <w:rPr>
                <w:sz w:val="20"/>
                <w:szCs w:val="20"/>
              </w:rPr>
              <w:t>4</w:t>
            </w:r>
            <w:r w:rsidRPr="005A4ACE">
              <w:rPr>
                <w:sz w:val="20"/>
                <w:szCs w:val="20"/>
              </w:rPr>
              <w:t>5pm</w:t>
            </w:r>
          </w:p>
        </w:tc>
        <w:tc>
          <w:tcPr>
            <w:tcW w:w="1058" w:type="dxa"/>
          </w:tcPr>
          <w:p w:rsidR="007A4DDD" w:rsidRPr="005A4ACE" w:rsidRDefault="007A4DDD" w:rsidP="00E06EE6">
            <w:pPr>
              <w:jc w:val="center"/>
              <w:rPr>
                <w:sz w:val="20"/>
                <w:szCs w:val="20"/>
              </w:rPr>
            </w:pPr>
            <w:r>
              <w:rPr>
                <w:sz w:val="20"/>
                <w:szCs w:val="20"/>
              </w:rPr>
              <w:t>2:0</w:t>
            </w:r>
            <w:r w:rsidRPr="005A4ACE">
              <w:rPr>
                <w:sz w:val="20"/>
                <w:szCs w:val="20"/>
              </w:rPr>
              <w:t>0pm</w:t>
            </w:r>
          </w:p>
        </w:tc>
        <w:tc>
          <w:tcPr>
            <w:tcW w:w="6252" w:type="dxa"/>
          </w:tcPr>
          <w:p w:rsidR="007A4DDD" w:rsidRPr="00655969" w:rsidRDefault="007A4DDD" w:rsidP="00E06EE6">
            <w:pPr>
              <w:jc w:val="both"/>
              <w:rPr>
                <w:sz w:val="20"/>
                <w:szCs w:val="20"/>
              </w:rPr>
            </w:pPr>
            <w:r w:rsidRPr="00655969">
              <w:rPr>
                <w:sz w:val="20"/>
                <w:szCs w:val="20"/>
              </w:rPr>
              <w:t>BREAK</w:t>
            </w:r>
          </w:p>
        </w:tc>
        <w:tc>
          <w:tcPr>
            <w:tcW w:w="2700" w:type="dxa"/>
            <w:vMerge/>
          </w:tcPr>
          <w:p w:rsidR="007A4DDD" w:rsidRPr="00655969" w:rsidRDefault="007A4DDD" w:rsidP="00E06EE6">
            <w:pPr>
              <w:rPr>
                <w:sz w:val="20"/>
                <w:szCs w:val="20"/>
              </w:rPr>
            </w:pPr>
          </w:p>
        </w:tc>
      </w:tr>
      <w:tr w:rsidR="007A4DDD" w:rsidRPr="00655969" w:rsidTr="00E06EE6">
        <w:trPr>
          <w:trHeight w:val="287"/>
        </w:trPr>
        <w:tc>
          <w:tcPr>
            <w:tcW w:w="1060" w:type="dxa"/>
          </w:tcPr>
          <w:p w:rsidR="007A4DDD" w:rsidRPr="005A4ACE" w:rsidRDefault="007A4DDD" w:rsidP="00E06EE6">
            <w:pPr>
              <w:jc w:val="center"/>
              <w:rPr>
                <w:sz w:val="20"/>
                <w:szCs w:val="20"/>
              </w:rPr>
            </w:pPr>
            <w:r>
              <w:rPr>
                <w:sz w:val="20"/>
                <w:szCs w:val="20"/>
              </w:rPr>
              <w:t>2:0</w:t>
            </w:r>
            <w:r w:rsidRPr="005A4ACE">
              <w:rPr>
                <w:sz w:val="20"/>
                <w:szCs w:val="20"/>
              </w:rPr>
              <w:t>0pm</w:t>
            </w:r>
          </w:p>
        </w:tc>
        <w:tc>
          <w:tcPr>
            <w:tcW w:w="1058" w:type="dxa"/>
          </w:tcPr>
          <w:p w:rsidR="007A4DDD" w:rsidRPr="005A4ACE" w:rsidRDefault="007A4DDD" w:rsidP="0031166F">
            <w:pPr>
              <w:jc w:val="center"/>
              <w:rPr>
                <w:sz w:val="20"/>
                <w:szCs w:val="20"/>
              </w:rPr>
            </w:pPr>
            <w:r>
              <w:rPr>
                <w:sz w:val="20"/>
                <w:szCs w:val="20"/>
              </w:rPr>
              <w:t>3</w:t>
            </w:r>
            <w:r w:rsidRPr="005A4ACE">
              <w:rPr>
                <w:sz w:val="20"/>
                <w:szCs w:val="20"/>
              </w:rPr>
              <w:t>:</w:t>
            </w:r>
            <w:r>
              <w:rPr>
                <w:sz w:val="20"/>
                <w:szCs w:val="20"/>
              </w:rPr>
              <w:t>30</w:t>
            </w:r>
            <w:r w:rsidRPr="005A4ACE">
              <w:rPr>
                <w:sz w:val="20"/>
                <w:szCs w:val="20"/>
              </w:rPr>
              <w:t>pm</w:t>
            </w:r>
          </w:p>
        </w:tc>
        <w:tc>
          <w:tcPr>
            <w:tcW w:w="6252" w:type="dxa"/>
          </w:tcPr>
          <w:p w:rsidR="007A4DDD" w:rsidRPr="0031166F" w:rsidRDefault="007A4DDD" w:rsidP="00E06EE6">
            <w:pPr>
              <w:jc w:val="both"/>
              <w:rPr>
                <w:rFonts w:ascii="Calibri" w:eastAsia="Calibri" w:hAnsi="Calibri" w:cs="Times New Roman"/>
                <w:sz w:val="20"/>
              </w:rPr>
            </w:pPr>
            <w:r w:rsidRPr="0031166F">
              <w:rPr>
                <w:rFonts w:ascii="Calibri" w:eastAsia="Calibri" w:hAnsi="Calibri" w:cs="Times New Roman"/>
                <w:b/>
                <w:sz w:val="20"/>
              </w:rPr>
              <w:t>Compensation Analysis</w:t>
            </w:r>
            <w:r w:rsidRPr="0031166F">
              <w:rPr>
                <w:rFonts w:ascii="Calibri" w:eastAsia="Calibri" w:hAnsi="Calibri" w:cs="Times New Roman"/>
                <w:sz w:val="20"/>
              </w:rPr>
              <w:t xml:space="preserve"> (Hands-On Workshop)</w:t>
            </w:r>
          </w:p>
          <w:p w:rsidR="007A4DDD" w:rsidRPr="00655969" w:rsidRDefault="007A4DDD" w:rsidP="00E06EE6">
            <w:pPr>
              <w:jc w:val="both"/>
              <w:rPr>
                <w:sz w:val="20"/>
                <w:szCs w:val="20"/>
              </w:rPr>
            </w:pPr>
          </w:p>
        </w:tc>
        <w:tc>
          <w:tcPr>
            <w:tcW w:w="2700" w:type="dxa"/>
            <w:vMerge/>
          </w:tcPr>
          <w:p w:rsidR="007A4DDD" w:rsidRPr="00655969" w:rsidRDefault="007A4DDD" w:rsidP="00E06EE6">
            <w:pPr>
              <w:rPr>
                <w:sz w:val="20"/>
                <w:szCs w:val="20"/>
              </w:rPr>
            </w:pPr>
          </w:p>
        </w:tc>
      </w:tr>
      <w:tr w:rsidR="0031166F" w:rsidRPr="00655969" w:rsidTr="00E06EE6">
        <w:trPr>
          <w:trHeight w:val="302"/>
        </w:trPr>
        <w:tc>
          <w:tcPr>
            <w:tcW w:w="1060" w:type="dxa"/>
          </w:tcPr>
          <w:p w:rsidR="0031166F" w:rsidRPr="005A4ACE" w:rsidRDefault="0031166F" w:rsidP="0031166F">
            <w:pPr>
              <w:jc w:val="center"/>
              <w:rPr>
                <w:sz w:val="20"/>
                <w:szCs w:val="20"/>
              </w:rPr>
            </w:pPr>
            <w:r>
              <w:rPr>
                <w:sz w:val="20"/>
                <w:szCs w:val="20"/>
              </w:rPr>
              <w:t>3</w:t>
            </w:r>
            <w:r w:rsidRPr="005A4ACE">
              <w:rPr>
                <w:sz w:val="20"/>
                <w:szCs w:val="20"/>
              </w:rPr>
              <w:t>:</w:t>
            </w:r>
            <w:r>
              <w:rPr>
                <w:sz w:val="20"/>
                <w:szCs w:val="20"/>
              </w:rPr>
              <w:t>30</w:t>
            </w:r>
            <w:r w:rsidRPr="005A4ACE">
              <w:rPr>
                <w:sz w:val="20"/>
                <w:szCs w:val="20"/>
              </w:rPr>
              <w:t>pm</w:t>
            </w:r>
          </w:p>
        </w:tc>
        <w:tc>
          <w:tcPr>
            <w:tcW w:w="1058" w:type="dxa"/>
          </w:tcPr>
          <w:p w:rsidR="0031166F" w:rsidRPr="005A4ACE" w:rsidRDefault="0031166F" w:rsidP="00E06EE6">
            <w:pPr>
              <w:jc w:val="center"/>
              <w:rPr>
                <w:sz w:val="20"/>
                <w:szCs w:val="20"/>
              </w:rPr>
            </w:pPr>
          </w:p>
        </w:tc>
        <w:tc>
          <w:tcPr>
            <w:tcW w:w="6252" w:type="dxa"/>
          </w:tcPr>
          <w:p w:rsidR="0031166F" w:rsidRPr="00655969" w:rsidRDefault="0031166F" w:rsidP="00E06EE6">
            <w:pPr>
              <w:jc w:val="both"/>
              <w:rPr>
                <w:sz w:val="20"/>
                <w:szCs w:val="20"/>
              </w:rPr>
            </w:pPr>
            <w:r>
              <w:rPr>
                <w:sz w:val="20"/>
                <w:szCs w:val="20"/>
              </w:rPr>
              <w:t>Adjourn</w:t>
            </w:r>
          </w:p>
        </w:tc>
        <w:tc>
          <w:tcPr>
            <w:tcW w:w="2700" w:type="dxa"/>
          </w:tcPr>
          <w:p w:rsidR="0031166F" w:rsidRPr="00655969" w:rsidRDefault="0031166F" w:rsidP="0031166F">
            <w:pPr>
              <w:rPr>
                <w:sz w:val="20"/>
                <w:szCs w:val="20"/>
              </w:rPr>
            </w:pPr>
            <w:r w:rsidRPr="00655969">
              <w:rPr>
                <w:sz w:val="20"/>
                <w:szCs w:val="20"/>
              </w:rPr>
              <w:t>John A Garza</w:t>
            </w:r>
            <w:r>
              <w:rPr>
                <w:sz w:val="20"/>
                <w:szCs w:val="20"/>
              </w:rPr>
              <w:t xml:space="preserve">, </w:t>
            </w:r>
          </w:p>
          <w:p w:rsidR="0031166F" w:rsidRPr="00655969" w:rsidRDefault="0031166F" w:rsidP="0031166F">
            <w:pPr>
              <w:rPr>
                <w:sz w:val="20"/>
                <w:szCs w:val="20"/>
              </w:rPr>
            </w:pPr>
            <w:proofErr w:type="spellStart"/>
            <w:r>
              <w:rPr>
                <w:sz w:val="20"/>
                <w:szCs w:val="20"/>
              </w:rPr>
              <w:t>AZilg</w:t>
            </w:r>
            <w:proofErr w:type="spellEnd"/>
            <w:r>
              <w:rPr>
                <w:sz w:val="20"/>
                <w:szCs w:val="20"/>
              </w:rPr>
              <w:t xml:space="preserve"> </w:t>
            </w:r>
            <w:r w:rsidRPr="00655969">
              <w:rPr>
                <w:sz w:val="20"/>
                <w:szCs w:val="20"/>
              </w:rPr>
              <w:t>President</w:t>
            </w:r>
          </w:p>
        </w:tc>
      </w:tr>
    </w:tbl>
    <w:p w:rsidR="0031166F" w:rsidRDefault="0031166F" w:rsidP="0031166F">
      <w:pPr>
        <w:pStyle w:val="NoSpacing"/>
        <w:rPr>
          <w:rStyle w:val="Hyperlink"/>
          <w:rFonts w:ascii="Times New Roman" w:hAnsi="Times New Roman" w:cs="Times New Roman"/>
          <w:b/>
          <w:color w:val="auto"/>
          <w:sz w:val="32"/>
          <w:szCs w:val="32"/>
          <w:u w:val="none"/>
        </w:rPr>
      </w:pPr>
    </w:p>
    <w:p w:rsidR="002861D8" w:rsidRDefault="002861D8">
      <w:pPr>
        <w:rPr>
          <w:rStyle w:val="Hyperlink"/>
          <w:rFonts w:ascii="Times New Roman" w:hAnsi="Times New Roman" w:cs="Times New Roman"/>
          <w:b/>
          <w:color w:val="auto"/>
          <w:sz w:val="32"/>
          <w:szCs w:val="32"/>
          <w:u w:val="none"/>
        </w:rPr>
      </w:pPr>
      <w:r>
        <w:rPr>
          <w:rStyle w:val="Hyperlink"/>
          <w:rFonts w:ascii="Times New Roman" w:hAnsi="Times New Roman" w:cs="Times New Roman"/>
          <w:b/>
          <w:color w:val="auto"/>
          <w:sz w:val="32"/>
          <w:szCs w:val="32"/>
          <w:u w:val="none"/>
        </w:rPr>
        <w:br w:type="page"/>
      </w:r>
    </w:p>
    <w:p w:rsidR="002861D8" w:rsidRDefault="002861D8" w:rsidP="002861D8">
      <w:pPr>
        <w:pStyle w:val="NoSpacing"/>
        <w:jc w:val="center"/>
        <w:rPr>
          <w:rStyle w:val="Hyperlink"/>
          <w:rFonts w:ascii="Times New Roman" w:hAnsi="Times New Roman" w:cs="Times New Roman"/>
          <w:b/>
          <w:color w:val="auto"/>
          <w:sz w:val="32"/>
          <w:szCs w:val="32"/>
          <w:u w:val="none"/>
        </w:rPr>
      </w:pPr>
      <w:r>
        <w:rPr>
          <w:rStyle w:val="Hyperlink"/>
          <w:rFonts w:ascii="Times New Roman" w:hAnsi="Times New Roman" w:cs="Times New Roman"/>
          <w:b/>
          <w:color w:val="auto"/>
          <w:sz w:val="32"/>
          <w:szCs w:val="32"/>
          <w:u w:val="none"/>
        </w:rPr>
        <w:lastRenderedPageBreak/>
        <w:t>Compliance Conference (November 16, 2012)</w:t>
      </w:r>
    </w:p>
    <w:p w:rsidR="00A87371" w:rsidRPr="00A87371" w:rsidRDefault="0030216D" w:rsidP="00A87371">
      <w:pPr>
        <w:pStyle w:val="NoSpacing"/>
        <w:jc w:val="center"/>
        <w:rPr>
          <w:rFonts w:ascii="Times New Roman" w:hAnsi="Times New Roman" w:cs="Times New Roman"/>
          <w:b/>
          <w:sz w:val="32"/>
          <w:szCs w:val="32"/>
        </w:rPr>
      </w:pPr>
      <w:r>
        <w:rPr>
          <w:rStyle w:val="Hyperlink"/>
          <w:rFonts w:ascii="Times New Roman" w:hAnsi="Times New Roman" w:cs="Times New Roman"/>
          <w:b/>
          <w:color w:val="auto"/>
          <w:sz w:val="32"/>
          <w:szCs w:val="32"/>
          <w:u w:val="none"/>
        </w:rPr>
        <w:t>Theme</w:t>
      </w:r>
      <w:r w:rsidR="009536BC">
        <w:rPr>
          <w:rStyle w:val="Hyperlink"/>
          <w:rFonts w:ascii="Times New Roman" w:hAnsi="Times New Roman" w:cs="Times New Roman"/>
          <w:b/>
          <w:color w:val="auto"/>
          <w:sz w:val="32"/>
          <w:szCs w:val="32"/>
          <w:u w:val="none"/>
        </w:rPr>
        <w:t xml:space="preserve">: </w:t>
      </w:r>
      <w:r w:rsidR="0045420D">
        <w:rPr>
          <w:rStyle w:val="Hyperlink"/>
          <w:rFonts w:ascii="Times New Roman" w:hAnsi="Times New Roman" w:cs="Times New Roman"/>
          <w:b/>
          <w:color w:val="auto"/>
          <w:sz w:val="32"/>
          <w:szCs w:val="32"/>
          <w:u w:val="none"/>
        </w:rPr>
        <w:t>“</w:t>
      </w:r>
      <w:r w:rsidR="009536BC">
        <w:rPr>
          <w:rStyle w:val="Hyperlink"/>
          <w:rFonts w:ascii="Times New Roman" w:hAnsi="Times New Roman" w:cs="Times New Roman"/>
          <w:b/>
          <w:color w:val="auto"/>
          <w:sz w:val="32"/>
          <w:szCs w:val="32"/>
          <w:u w:val="none"/>
        </w:rPr>
        <w:t>Workplace Equality: Creating a</w:t>
      </w:r>
      <w:r>
        <w:rPr>
          <w:rStyle w:val="Hyperlink"/>
          <w:rFonts w:ascii="Times New Roman" w:hAnsi="Times New Roman" w:cs="Times New Roman"/>
          <w:b/>
          <w:color w:val="auto"/>
          <w:sz w:val="32"/>
          <w:szCs w:val="32"/>
          <w:u w:val="none"/>
        </w:rPr>
        <w:t>n</w:t>
      </w:r>
      <w:r w:rsidR="00A87371" w:rsidRPr="00A87371">
        <w:rPr>
          <w:rStyle w:val="Hyperlink"/>
          <w:rFonts w:ascii="Times New Roman" w:hAnsi="Times New Roman" w:cs="Times New Roman"/>
          <w:b/>
          <w:color w:val="auto"/>
          <w:sz w:val="32"/>
          <w:szCs w:val="32"/>
          <w:u w:val="none"/>
        </w:rPr>
        <w:t xml:space="preserve"> Inclusive Workplace”</w:t>
      </w:r>
    </w:p>
    <w:p w:rsidR="003D2C6B" w:rsidRPr="00A87371" w:rsidRDefault="003D2C6B" w:rsidP="00A87371">
      <w:pPr>
        <w:spacing w:after="0" w:line="240" w:lineRule="auto"/>
        <w:rPr>
          <w:i/>
          <w:sz w:val="20"/>
          <w:szCs w:val="20"/>
        </w:rPr>
      </w:pPr>
    </w:p>
    <w:tbl>
      <w:tblPr>
        <w:tblStyle w:val="TableGrid"/>
        <w:tblW w:w="11070" w:type="dxa"/>
        <w:tblInd w:w="-522" w:type="dxa"/>
        <w:tblLook w:val="04A0"/>
      </w:tblPr>
      <w:tblGrid>
        <w:gridCol w:w="1060"/>
        <w:gridCol w:w="1058"/>
        <w:gridCol w:w="6252"/>
        <w:gridCol w:w="2700"/>
      </w:tblGrid>
      <w:tr w:rsidR="008E2DE3" w:rsidRPr="00655969" w:rsidTr="00CD536A">
        <w:trPr>
          <w:trHeight w:val="287"/>
        </w:trPr>
        <w:tc>
          <w:tcPr>
            <w:tcW w:w="1060" w:type="dxa"/>
            <w:shd w:val="pct10" w:color="auto" w:fill="auto"/>
          </w:tcPr>
          <w:p w:rsidR="008E2DE3" w:rsidRPr="005A4ACE" w:rsidRDefault="008E2DE3" w:rsidP="008C6191">
            <w:pPr>
              <w:jc w:val="center"/>
              <w:rPr>
                <w:b/>
                <w:sz w:val="20"/>
                <w:szCs w:val="20"/>
              </w:rPr>
            </w:pPr>
            <w:r w:rsidRPr="005A4ACE">
              <w:rPr>
                <w:b/>
                <w:sz w:val="20"/>
                <w:szCs w:val="20"/>
              </w:rPr>
              <w:t>Start</w:t>
            </w:r>
          </w:p>
        </w:tc>
        <w:tc>
          <w:tcPr>
            <w:tcW w:w="1058" w:type="dxa"/>
            <w:shd w:val="pct10" w:color="auto" w:fill="auto"/>
          </w:tcPr>
          <w:p w:rsidR="008E2DE3" w:rsidRPr="005A4ACE" w:rsidRDefault="008E2DE3" w:rsidP="008F2B94">
            <w:pPr>
              <w:jc w:val="center"/>
              <w:rPr>
                <w:b/>
                <w:sz w:val="20"/>
                <w:szCs w:val="20"/>
              </w:rPr>
            </w:pPr>
            <w:r w:rsidRPr="005A4ACE">
              <w:rPr>
                <w:b/>
                <w:sz w:val="20"/>
                <w:szCs w:val="20"/>
              </w:rPr>
              <w:t>End</w:t>
            </w:r>
          </w:p>
        </w:tc>
        <w:tc>
          <w:tcPr>
            <w:tcW w:w="6252" w:type="dxa"/>
            <w:shd w:val="pct10" w:color="auto" w:fill="auto"/>
          </w:tcPr>
          <w:p w:rsidR="008E2DE3" w:rsidRPr="00655969" w:rsidRDefault="008E2DE3" w:rsidP="00821857">
            <w:pPr>
              <w:jc w:val="both"/>
              <w:rPr>
                <w:b/>
                <w:sz w:val="20"/>
                <w:szCs w:val="20"/>
              </w:rPr>
            </w:pPr>
            <w:r w:rsidRPr="00655969">
              <w:rPr>
                <w:b/>
                <w:sz w:val="20"/>
                <w:szCs w:val="20"/>
              </w:rPr>
              <w:t>Topic</w:t>
            </w:r>
          </w:p>
        </w:tc>
        <w:tc>
          <w:tcPr>
            <w:tcW w:w="2700" w:type="dxa"/>
            <w:shd w:val="pct10" w:color="auto" w:fill="auto"/>
          </w:tcPr>
          <w:p w:rsidR="008E2DE3" w:rsidRPr="00655969" w:rsidRDefault="008E2DE3" w:rsidP="008E2DE3">
            <w:pPr>
              <w:rPr>
                <w:b/>
                <w:sz w:val="20"/>
                <w:szCs w:val="20"/>
              </w:rPr>
            </w:pPr>
            <w:r w:rsidRPr="00655969">
              <w:rPr>
                <w:b/>
                <w:sz w:val="20"/>
                <w:szCs w:val="20"/>
              </w:rPr>
              <w:t>Presenter(s)</w:t>
            </w:r>
          </w:p>
        </w:tc>
      </w:tr>
      <w:tr w:rsidR="008E2DE3" w:rsidRPr="00655969" w:rsidTr="00CD536A">
        <w:trPr>
          <w:trHeight w:val="287"/>
        </w:trPr>
        <w:tc>
          <w:tcPr>
            <w:tcW w:w="1060" w:type="dxa"/>
          </w:tcPr>
          <w:p w:rsidR="008E2DE3" w:rsidRPr="005A4ACE" w:rsidRDefault="008E2DE3" w:rsidP="008C6191">
            <w:pPr>
              <w:jc w:val="center"/>
              <w:rPr>
                <w:sz w:val="20"/>
                <w:szCs w:val="20"/>
              </w:rPr>
            </w:pPr>
            <w:r w:rsidRPr="005A4ACE">
              <w:rPr>
                <w:sz w:val="20"/>
                <w:szCs w:val="20"/>
              </w:rPr>
              <w:t>7:00am</w:t>
            </w:r>
          </w:p>
        </w:tc>
        <w:tc>
          <w:tcPr>
            <w:tcW w:w="1058" w:type="dxa"/>
          </w:tcPr>
          <w:p w:rsidR="008E2DE3" w:rsidRPr="005A4ACE" w:rsidRDefault="008E2DE3" w:rsidP="00112ABF">
            <w:pPr>
              <w:jc w:val="center"/>
              <w:rPr>
                <w:sz w:val="20"/>
                <w:szCs w:val="20"/>
              </w:rPr>
            </w:pPr>
            <w:r w:rsidRPr="005A4ACE">
              <w:rPr>
                <w:sz w:val="20"/>
                <w:szCs w:val="20"/>
              </w:rPr>
              <w:t>8:00am</w:t>
            </w:r>
          </w:p>
        </w:tc>
        <w:tc>
          <w:tcPr>
            <w:tcW w:w="6252" w:type="dxa"/>
          </w:tcPr>
          <w:p w:rsidR="008E2DE3" w:rsidRPr="00655969" w:rsidRDefault="008E2DE3" w:rsidP="00821857">
            <w:pPr>
              <w:jc w:val="both"/>
              <w:rPr>
                <w:sz w:val="20"/>
                <w:szCs w:val="20"/>
              </w:rPr>
            </w:pPr>
            <w:r w:rsidRPr="00655969">
              <w:rPr>
                <w:sz w:val="20"/>
                <w:szCs w:val="20"/>
              </w:rPr>
              <w:t>Registration</w:t>
            </w:r>
          </w:p>
        </w:tc>
        <w:tc>
          <w:tcPr>
            <w:tcW w:w="2700" w:type="dxa"/>
          </w:tcPr>
          <w:p w:rsidR="008E2DE3" w:rsidRPr="00655969" w:rsidRDefault="008E2DE3" w:rsidP="008E2DE3">
            <w:pPr>
              <w:rPr>
                <w:sz w:val="20"/>
                <w:szCs w:val="20"/>
              </w:rPr>
            </w:pPr>
            <w:proofErr w:type="spellStart"/>
            <w:r w:rsidRPr="00655969">
              <w:rPr>
                <w:sz w:val="20"/>
                <w:szCs w:val="20"/>
              </w:rPr>
              <w:t>AZilg</w:t>
            </w:r>
            <w:proofErr w:type="spellEnd"/>
          </w:p>
        </w:tc>
      </w:tr>
      <w:tr w:rsidR="008E2DE3" w:rsidRPr="00655969" w:rsidTr="00CD536A">
        <w:trPr>
          <w:trHeight w:val="302"/>
        </w:trPr>
        <w:tc>
          <w:tcPr>
            <w:tcW w:w="1060" w:type="dxa"/>
          </w:tcPr>
          <w:p w:rsidR="008E2DE3" w:rsidRPr="005A4ACE" w:rsidRDefault="008E2DE3" w:rsidP="00112ABF">
            <w:pPr>
              <w:jc w:val="center"/>
              <w:rPr>
                <w:sz w:val="20"/>
                <w:szCs w:val="20"/>
              </w:rPr>
            </w:pPr>
            <w:r w:rsidRPr="005A4ACE">
              <w:rPr>
                <w:sz w:val="20"/>
                <w:szCs w:val="20"/>
              </w:rPr>
              <w:t>8:00am</w:t>
            </w:r>
          </w:p>
        </w:tc>
        <w:tc>
          <w:tcPr>
            <w:tcW w:w="1058" w:type="dxa"/>
          </w:tcPr>
          <w:p w:rsidR="008E2DE3" w:rsidRPr="005A4ACE" w:rsidRDefault="008E2DE3" w:rsidP="00112ABF">
            <w:pPr>
              <w:jc w:val="center"/>
              <w:rPr>
                <w:sz w:val="20"/>
                <w:szCs w:val="20"/>
              </w:rPr>
            </w:pPr>
            <w:r w:rsidRPr="005A4ACE">
              <w:rPr>
                <w:sz w:val="20"/>
                <w:szCs w:val="20"/>
              </w:rPr>
              <w:t>8:05am</w:t>
            </w:r>
          </w:p>
        </w:tc>
        <w:tc>
          <w:tcPr>
            <w:tcW w:w="6252" w:type="dxa"/>
          </w:tcPr>
          <w:p w:rsidR="008E2DE3" w:rsidRPr="00655969" w:rsidRDefault="008E2DE3" w:rsidP="00821857">
            <w:pPr>
              <w:jc w:val="both"/>
              <w:rPr>
                <w:sz w:val="20"/>
                <w:szCs w:val="20"/>
              </w:rPr>
            </w:pPr>
            <w:r w:rsidRPr="00655969">
              <w:rPr>
                <w:sz w:val="20"/>
                <w:szCs w:val="20"/>
              </w:rPr>
              <w:t>Welcoming Remarks</w:t>
            </w:r>
          </w:p>
        </w:tc>
        <w:tc>
          <w:tcPr>
            <w:tcW w:w="2700" w:type="dxa"/>
          </w:tcPr>
          <w:p w:rsidR="0031166F" w:rsidRPr="00655969" w:rsidRDefault="0031166F" w:rsidP="0031166F">
            <w:pPr>
              <w:rPr>
                <w:sz w:val="20"/>
                <w:szCs w:val="20"/>
              </w:rPr>
            </w:pPr>
            <w:r w:rsidRPr="00655969">
              <w:rPr>
                <w:sz w:val="20"/>
                <w:szCs w:val="20"/>
              </w:rPr>
              <w:t>John A Garza</w:t>
            </w:r>
            <w:r>
              <w:rPr>
                <w:sz w:val="20"/>
                <w:szCs w:val="20"/>
              </w:rPr>
              <w:t xml:space="preserve">, </w:t>
            </w:r>
          </w:p>
          <w:p w:rsidR="008E2DE3" w:rsidRPr="00655969" w:rsidRDefault="0031166F" w:rsidP="0031166F">
            <w:pPr>
              <w:rPr>
                <w:sz w:val="20"/>
                <w:szCs w:val="20"/>
              </w:rPr>
            </w:pPr>
            <w:proofErr w:type="spellStart"/>
            <w:r>
              <w:rPr>
                <w:sz w:val="20"/>
                <w:szCs w:val="20"/>
              </w:rPr>
              <w:t>AZilg</w:t>
            </w:r>
            <w:proofErr w:type="spellEnd"/>
            <w:r>
              <w:rPr>
                <w:sz w:val="20"/>
                <w:szCs w:val="20"/>
              </w:rPr>
              <w:t xml:space="preserve"> </w:t>
            </w:r>
            <w:r w:rsidRPr="00655969">
              <w:rPr>
                <w:sz w:val="20"/>
                <w:szCs w:val="20"/>
              </w:rPr>
              <w:t>President</w:t>
            </w:r>
          </w:p>
        </w:tc>
      </w:tr>
      <w:tr w:rsidR="008E2DE3" w:rsidRPr="00655969" w:rsidTr="00CD536A">
        <w:trPr>
          <w:trHeight w:val="287"/>
        </w:trPr>
        <w:tc>
          <w:tcPr>
            <w:tcW w:w="1060" w:type="dxa"/>
          </w:tcPr>
          <w:p w:rsidR="008E2DE3" w:rsidRPr="005A4ACE" w:rsidRDefault="008E2DE3" w:rsidP="00112ABF">
            <w:pPr>
              <w:jc w:val="center"/>
              <w:rPr>
                <w:sz w:val="20"/>
                <w:szCs w:val="20"/>
              </w:rPr>
            </w:pPr>
            <w:r w:rsidRPr="005A4ACE">
              <w:rPr>
                <w:sz w:val="20"/>
                <w:szCs w:val="20"/>
              </w:rPr>
              <w:t>8:05am</w:t>
            </w:r>
          </w:p>
        </w:tc>
        <w:tc>
          <w:tcPr>
            <w:tcW w:w="1058" w:type="dxa"/>
          </w:tcPr>
          <w:p w:rsidR="008E2DE3" w:rsidRPr="005A4ACE" w:rsidRDefault="008E2DE3" w:rsidP="00112ABF">
            <w:pPr>
              <w:jc w:val="center"/>
              <w:rPr>
                <w:sz w:val="20"/>
                <w:szCs w:val="20"/>
              </w:rPr>
            </w:pPr>
            <w:r w:rsidRPr="005A4ACE">
              <w:rPr>
                <w:sz w:val="20"/>
                <w:szCs w:val="20"/>
              </w:rPr>
              <w:t>8:35am</w:t>
            </w:r>
          </w:p>
        </w:tc>
        <w:tc>
          <w:tcPr>
            <w:tcW w:w="6252" w:type="dxa"/>
          </w:tcPr>
          <w:p w:rsidR="008E2DE3" w:rsidRDefault="008E2DE3" w:rsidP="00821857">
            <w:pPr>
              <w:jc w:val="both"/>
              <w:rPr>
                <w:sz w:val="20"/>
                <w:szCs w:val="20"/>
              </w:rPr>
            </w:pPr>
            <w:r w:rsidRPr="00655969">
              <w:rPr>
                <w:sz w:val="20"/>
                <w:szCs w:val="20"/>
              </w:rPr>
              <w:t>OFCCP Updates</w:t>
            </w:r>
          </w:p>
          <w:p w:rsidR="008E2DE3" w:rsidRPr="00655969" w:rsidRDefault="008E2DE3" w:rsidP="00821857">
            <w:pPr>
              <w:jc w:val="both"/>
              <w:rPr>
                <w:sz w:val="20"/>
                <w:szCs w:val="20"/>
              </w:rPr>
            </w:pPr>
          </w:p>
        </w:tc>
        <w:tc>
          <w:tcPr>
            <w:tcW w:w="2700" w:type="dxa"/>
          </w:tcPr>
          <w:p w:rsidR="008E2DE3" w:rsidRDefault="008E2DE3" w:rsidP="008E2DE3">
            <w:pPr>
              <w:rPr>
                <w:sz w:val="20"/>
                <w:szCs w:val="20"/>
              </w:rPr>
            </w:pPr>
            <w:r w:rsidRPr="00655969">
              <w:rPr>
                <w:sz w:val="20"/>
                <w:szCs w:val="20"/>
              </w:rPr>
              <w:t>Marvin Jordan</w:t>
            </w:r>
            <w:r>
              <w:rPr>
                <w:sz w:val="20"/>
                <w:szCs w:val="20"/>
              </w:rPr>
              <w:t xml:space="preserve">, </w:t>
            </w:r>
          </w:p>
          <w:p w:rsidR="008E2DE3" w:rsidRPr="00655969" w:rsidRDefault="008E2DE3" w:rsidP="008E2DE3">
            <w:pPr>
              <w:rPr>
                <w:sz w:val="20"/>
                <w:szCs w:val="20"/>
              </w:rPr>
            </w:pPr>
            <w:r>
              <w:rPr>
                <w:sz w:val="20"/>
                <w:szCs w:val="20"/>
              </w:rPr>
              <w:t xml:space="preserve">OFCCP Phoenix </w:t>
            </w:r>
            <w:r w:rsidRPr="00655969">
              <w:rPr>
                <w:sz w:val="20"/>
                <w:szCs w:val="20"/>
              </w:rPr>
              <w:t>District Director</w:t>
            </w:r>
          </w:p>
        </w:tc>
      </w:tr>
      <w:tr w:rsidR="008E2DE3" w:rsidRPr="00655969" w:rsidTr="00CD536A">
        <w:trPr>
          <w:trHeight w:val="302"/>
        </w:trPr>
        <w:tc>
          <w:tcPr>
            <w:tcW w:w="1060" w:type="dxa"/>
          </w:tcPr>
          <w:p w:rsidR="008E2DE3" w:rsidRPr="005A4ACE" w:rsidRDefault="008E2DE3" w:rsidP="00112ABF">
            <w:pPr>
              <w:jc w:val="center"/>
              <w:rPr>
                <w:sz w:val="20"/>
                <w:szCs w:val="20"/>
              </w:rPr>
            </w:pPr>
            <w:r w:rsidRPr="005A4ACE">
              <w:rPr>
                <w:sz w:val="20"/>
                <w:szCs w:val="20"/>
              </w:rPr>
              <w:t>8:35am</w:t>
            </w:r>
          </w:p>
        </w:tc>
        <w:tc>
          <w:tcPr>
            <w:tcW w:w="1058" w:type="dxa"/>
          </w:tcPr>
          <w:p w:rsidR="008E2DE3" w:rsidRPr="005A4ACE" w:rsidRDefault="008E2DE3" w:rsidP="00112ABF">
            <w:pPr>
              <w:jc w:val="center"/>
              <w:rPr>
                <w:sz w:val="20"/>
                <w:szCs w:val="20"/>
              </w:rPr>
            </w:pPr>
            <w:r w:rsidRPr="005A4ACE">
              <w:rPr>
                <w:sz w:val="20"/>
                <w:szCs w:val="20"/>
              </w:rPr>
              <w:t>9:05am</w:t>
            </w:r>
          </w:p>
        </w:tc>
        <w:tc>
          <w:tcPr>
            <w:tcW w:w="6252" w:type="dxa"/>
          </w:tcPr>
          <w:p w:rsidR="008E2DE3" w:rsidRPr="009D0939" w:rsidRDefault="008E2DE3" w:rsidP="00821857">
            <w:pPr>
              <w:jc w:val="both"/>
              <w:rPr>
                <w:b/>
                <w:sz w:val="20"/>
                <w:szCs w:val="20"/>
              </w:rPr>
            </w:pPr>
            <w:r w:rsidRPr="009D0939">
              <w:rPr>
                <w:b/>
                <w:sz w:val="20"/>
                <w:szCs w:val="20"/>
              </w:rPr>
              <w:t>“</w:t>
            </w:r>
            <w:r w:rsidRPr="009D0939">
              <w:rPr>
                <w:rFonts w:ascii="Calibri" w:eastAsia="Calibri" w:hAnsi="Calibri" w:cs="Times New Roman"/>
                <w:b/>
                <w:sz w:val="20"/>
                <w:szCs w:val="20"/>
              </w:rPr>
              <w:t xml:space="preserve">Progress in Pursuit of Workplace Equality: </w:t>
            </w:r>
            <w:r w:rsidRPr="009D0939">
              <w:rPr>
                <w:rFonts w:ascii="Calibri" w:eastAsia="Calibri" w:hAnsi="Calibri" w:cs="Times New Roman"/>
                <w:b/>
                <w:sz w:val="20"/>
                <w:szCs w:val="20"/>
                <w:u w:val="single"/>
              </w:rPr>
              <w:t>An EEOC Update</w:t>
            </w:r>
            <w:r w:rsidRPr="009D0939">
              <w:rPr>
                <w:b/>
                <w:sz w:val="20"/>
                <w:szCs w:val="20"/>
              </w:rPr>
              <w:t>”</w:t>
            </w:r>
          </w:p>
          <w:p w:rsidR="008E2DE3" w:rsidRPr="00974885" w:rsidRDefault="008E2DE3" w:rsidP="00821857">
            <w:pPr>
              <w:jc w:val="both"/>
              <w:rPr>
                <w:sz w:val="20"/>
                <w:szCs w:val="20"/>
              </w:rPr>
            </w:pPr>
          </w:p>
          <w:p w:rsidR="008E2DE3" w:rsidRPr="00974885" w:rsidRDefault="008E2DE3" w:rsidP="00821857">
            <w:pPr>
              <w:jc w:val="both"/>
              <w:rPr>
                <w:rFonts w:ascii="Calibri" w:eastAsia="Calibri" w:hAnsi="Calibri" w:cs="Times New Roman"/>
                <w:sz w:val="20"/>
                <w:szCs w:val="20"/>
              </w:rPr>
            </w:pPr>
            <w:r w:rsidRPr="00974885">
              <w:rPr>
                <w:rFonts w:ascii="Calibri" w:eastAsia="Calibri" w:hAnsi="Calibri" w:cs="Times New Roman"/>
                <w:sz w:val="20"/>
                <w:szCs w:val="20"/>
              </w:rPr>
              <w:t>Workplace equality remains elusive to many in our society today, but EEOC and forward thinking employers remain committed to leveling the playing field for all employees.  At the end of fiscal year 2011, EEOC had received 99,947 charges of employment discrimination, a record high.  In FY2012, EEOC continued its focus on systemic discrimination as well as individual cases of discrimination.  EEOC also issued several new pieces of guidance including the updated guidance on use of arrest and conviction records in the workplace.  In April 2012, the Commission issued its decision in a federal employer case stating discrimination based on transgender is recognized under Title VII.  Join us on November 16</w:t>
            </w:r>
            <w:r w:rsidRPr="00974885">
              <w:rPr>
                <w:rFonts w:ascii="Calibri" w:eastAsia="Calibri" w:hAnsi="Calibri" w:cs="Times New Roman"/>
                <w:sz w:val="20"/>
                <w:szCs w:val="20"/>
                <w:vertAlign w:val="superscript"/>
              </w:rPr>
              <w:t>th</w:t>
            </w:r>
            <w:r w:rsidRPr="00974885">
              <w:rPr>
                <w:rFonts w:ascii="Calibri" w:eastAsia="Calibri" w:hAnsi="Calibri" w:cs="Times New Roman"/>
                <w:sz w:val="20"/>
                <w:szCs w:val="20"/>
              </w:rPr>
              <w:t xml:space="preserve"> to hear directly from the EEOC Phoenix District Director about what to expect from EEOC in FY2013!</w:t>
            </w:r>
          </w:p>
          <w:p w:rsidR="008E2DE3" w:rsidRPr="00974885" w:rsidRDefault="008E2DE3" w:rsidP="00821857">
            <w:pPr>
              <w:jc w:val="both"/>
              <w:rPr>
                <w:sz w:val="20"/>
                <w:szCs w:val="20"/>
              </w:rPr>
            </w:pPr>
          </w:p>
        </w:tc>
        <w:tc>
          <w:tcPr>
            <w:tcW w:w="2700" w:type="dxa"/>
          </w:tcPr>
          <w:p w:rsidR="008E2DE3" w:rsidRDefault="008E2DE3" w:rsidP="008E2DE3">
            <w:pPr>
              <w:rPr>
                <w:sz w:val="20"/>
                <w:szCs w:val="20"/>
              </w:rPr>
            </w:pPr>
            <w:proofErr w:type="spellStart"/>
            <w:r w:rsidRPr="00097119">
              <w:rPr>
                <w:rFonts w:ascii="Calibri" w:eastAsia="Calibri" w:hAnsi="Calibri" w:cs="Times New Roman"/>
                <w:sz w:val="20"/>
                <w:szCs w:val="20"/>
              </w:rPr>
              <w:t>Rayford</w:t>
            </w:r>
            <w:proofErr w:type="spellEnd"/>
            <w:r w:rsidRPr="00097119">
              <w:rPr>
                <w:rFonts w:ascii="Calibri" w:eastAsia="Calibri" w:hAnsi="Calibri" w:cs="Times New Roman"/>
                <w:sz w:val="20"/>
                <w:szCs w:val="20"/>
              </w:rPr>
              <w:t xml:space="preserve"> O. Irvin</w:t>
            </w:r>
            <w:r>
              <w:rPr>
                <w:sz w:val="20"/>
                <w:szCs w:val="20"/>
              </w:rPr>
              <w:t xml:space="preserve">, </w:t>
            </w:r>
          </w:p>
          <w:p w:rsidR="008E2DE3" w:rsidRPr="00097119" w:rsidRDefault="008E2DE3" w:rsidP="008E2DE3">
            <w:pPr>
              <w:rPr>
                <w:rFonts w:ascii="Calibri" w:eastAsia="Calibri" w:hAnsi="Calibri" w:cs="Times New Roman"/>
                <w:sz w:val="20"/>
                <w:szCs w:val="20"/>
              </w:rPr>
            </w:pPr>
            <w:r w:rsidRPr="00097119">
              <w:rPr>
                <w:rFonts w:ascii="Calibri" w:eastAsia="Calibri" w:hAnsi="Calibri" w:cs="Times New Roman"/>
                <w:sz w:val="20"/>
                <w:szCs w:val="20"/>
              </w:rPr>
              <w:t>EEOC Phoenix</w:t>
            </w:r>
            <w:r>
              <w:rPr>
                <w:sz w:val="20"/>
                <w:szCs w:val="20"/>
              </w:rPr>
              <w:t xml:space="preserve"> </w:t>
            </w:r>
            <w:r w:rsidRPr="00097119">
              <w:rPr>
                <w:rFonts w:ascii="Calibri" w:eastAsia="Calibri" w:hAnsi="Calibri" w:cs="Times New Roman"/>
                <w:sz w:val="20"/>
                <w:szCs w:val="20"/>
              </w:rPr>
              <w:t>District Director</w:t>
            </w:r>
          </w:p>
          <w:p w:rsidR="008E2DE3" w:rsidRPr="00655969" w:rsidRDefault="008E2DE3" w:rsidP="008E2DE3">
            <w:pPr>
              <w:rPr>
                <w:sz w:val="20"/>
                <w:szCs w:val="20"/>
              </w:rPr>
            </w:pPr>
          </w:p>
        </w:tc>
      </w:tr>
      <w:tr w:rsidR="008E2DE3" w:rsidRPr="00655969" w:rsidTr="00CD536A">
        <w:trPr>
          <w:trHeight w:val="287"/>
        </w:trPr>
        <w:tc>
          <w:tcPr>
            <w:tcW w:w="1060" w:type="dxa"/>
          </w:tcPr>
          <w:p w:rsidR="008E2DE3" w:rsidRPr="005A4ACE" w:rsidRDefault="008E2DE3" w:rsidP="00112ABF">
            <w:pPr>
              <w:jc w:val="center"/>
              <w:rPr>
                <w:sz w:val="20"/>
                <w:szCs w:val="20"/>
              </w:rPr>
            </w:pPr>
            <w:r w:rsidRPr="005A4ACE">
              <w:rPr>
                <w:sz w:val="20"/>
                <w:szCs w:val="20"/>
              </w:rPr>
              <w:t>9:05am</w:t>
            </w:r>
          </w:p>
        </w:tc>
        <w:tc>
          <w:tcPr>
            <w:tcW w:w="1058" w:type="dxa"/>
          </w:tcPr>
          <w:p w:rsidR="008E2DE3" w:rsidRPr="005A4ACE" w:rsidRDefault="008E2DE3" w:rsidP="00112ABF">
            <w:pPr>
              <w:jc w:val="center"/>
              <w:rPr>
                <w:sz w:val="20"/>
                <w:szCs w:val="20"/>
              </w:rPr>
            </w:pPr>
            <w:r w:rsidRPr="005A4ACE">
              <w:rPr>
                <w:sz w:val="20"/>
                <w:szCs w:val="20"/>
              </w:rPr>
              <w:t>10:05am</w:t>
            </w:r>
          </w:p>
        </w:tc>
        <w:tc>
          <w:tcPr>
            <w:tcW w:w="6252" w:type="dxa"/>
          </w:tcPr>
          <w:p w:rsidR="008E2DE3" w:rsidRDefault="004718CE" w:rsidP="004718CE">
            <w:pPr>
              <w:jc w:val="both"/>
              <w:rPr>
                <w:rFonts w:ascii="Calibri" w:hAnsi="Calibri" w:cs="Calibri"/>
                <w:b/>
                <w:sz w:val="20"/>
                <w:szCs w:val="20"/>
              </w:rPr>
            </w:pPr>
            <w:r>
              <w:rPr>
                <w:rFonts w:ascii="Calibri" w:hAnsi="Calibri" w:cs="Calibri"/>
                <w:b/>
                <w:sz w:val="20"/>
                <w:szCs w:val="20"/>
              </w:rPr>
              <w:t>“</w:t>
            </w:r>
            <w:r w:rsidRPr="004718CE">
              <w:rPr>
                <w:rFonts w:ascii="Calibri" w:hAnsi="Calibri" w:cs="Calibri"/>
                <w:b/>
                <w:sz w:val="20"/>
                <w:szCs w:val="20"/>
              </w:rPr>
              <w:t>Preparing for Job Listing and Outreach in the Post-Election Compliance Landscape</w:t>
            </w:r>
            <w:r>
              <w:rPr>
                <w:rFonts w:ascii="Calibri" w:hAnsi="Calibri" w:cs="Calibri"/>
                <w:b/>
                <w:sz w:val="20"/>
                <w:szCs w:val="20"/>
              </w:rPr>
              <w:t>”</w:t>
            </w:r>
          </w:p>
          <w:p w:rsidR="004718CE" w:rsidRDefault="004718CE" w:rsidP="004718CE">
            <w:pPr>
              <w:jc w:val="both"/>
              <w:rPr>
                <w:rFonts w:ascii="Calibri" w:hAnsi="Calibri" w:cs="Calibri"/>
                <w:b/>
                <w:sz w:val="20"/>
                <w:szCs w:val="20"/>
              </w:rPr>
            </w:pPr>
          </w:p>
          <w:p w:rsidR="004718CE" w:rsidRDefault="000C6E03" w:rsidP="000C6E03">
            <w:pPr>
              <w:jc w:val="both"/>
              <w:rPr>
                <w:rFonts w:ascii="Calibri" w:hAnsi="Calibri" w:cs="Calibri"/>
                <w:sz w:val="20"/>
                <w:szCs w:val="20"/>
              </w:rPr>
            </w:pPr>
            <w:r w:rsidRPr="000C6E03">
              <w:rPr>
                <w:rFonts w:ascii="Calibri" w:hAnsi="Calibri" w:cs="Calibri"/>
                <w:sz w:val="20"/>
                <w:szCs w:val="20"/>
              </w:rPr>
              <w:t>The OFCCP has proposed sweeping changes in the job listing, data tracking and analytical framework mandating specific actions federal contractors must take to be compliant in support of affirmative action to recruit protected veterans and individuals with disabilities. The presentation provides an overview of the changes, discusses the potential scenarios of passage of the legislation and its impact on federal contractors, and how to prepare for any changes in the post-election era.</w:t>
            </w:r>
          </w:p>
          <w:p w:rsidR="000C6E03" w:rsidRPr="00655969" w:rsidRDefault="000C6E03" w:rsidP="000C6E03">
            <w:pPr>
              <w:jc w:val="both"/>
              <w:rPr>
                <w:sz w:val="20"/>
                <w:szCs w:val="20"/>
              </w:rPr>
            </w:pPr>
          </w:p>
        </w:tc>
        <w:tc>
          <w:tcPr>
            <w:tcW w:w="2700" w:type="dxa"/>
          </w:tcPr>
          <w:p w:rsidR="008E2DE3" w:rsidRPr="00655969" w:rsidRDefault="008E2DE3" w:rsidP="008E2DE3">
            <w:pPr>
              <w:rPr>
                <w:sz w:val="20"/>
                <w:szCs w:val="20"/>
              </w:rPr>
            </w:pPr>
            <w:r>
              <w:rPr>
                <w:rFonts w:cstheme="minorHAnsi"/>
                <w:sz w:val="20"/>
                <w:szCs w:val="20"/>
              </w:rPr>
              <w:t>Rathin Sinha, CEO</w:t>
            </w:r>
            <w:r w:rsidR="00DA34CA">
              <w:rPr>
                <w:rFonts w:cstheme="minorHAnsi"/>
                <w:sz w:val="20"/>
                <w:szCs w:val="20"/>
              </w:rPr>
              <w:t>, Americas Job Exchange</w:t>
            </w:r>
          </w:p>
        </w:tc>
      </w:tr>
      <w:tr w:rsidR="008E2DE3" w:rsidRPr="00655969" w:rsidTr="00CD536A">
        <w:trPr>
          <w:trHeight w:val="395"/>
        </w:trPr>
        <w:tc>
          <w:tcPr>
            <w:tcW w:w="1060" w:type="dxa"/>
            <w:tcBorders>
              <w:bottom w:val="single" w:sz="4" w:space="0" w:color="auto"/>
            </w:tcBorders>
          </w:tcPr>
          <w:p w:rsidR="008E2DE3" w:rsidRPr="005A4ACE" w:rsidRDefault="008E2DE3" w:rsidP="00112ABF">
            <w:pPr>
              <w:jc w:val="center"/>
              <w:rPr>
                <w:sz w:val="20"/>
                <w:szCs w:val="20"/>
              </w:rPr>
            </w:pPr>
            <w:r w:rsidRPr="005A4ACE">
              <w:rPr>
                <w:sz w:val="20"/>
                <w:szCs w:val="20"/>
              </w:rPr>
              <w:t>10:05am</w:t>
            </w:r>
          </w:p>
        </w:tc>
        <w:tc>
          <w:tcPr>
            <w:tcW w:w="1058" w:type="dxa"/>
            <w:tcBorders>
              <w:bottom w:val="single" w:sz="4" w:space="0" w:color="auto"/>
            </w:tcBorders>
          </w:tcPr>
          <w:p w:rsidR="008E2DE3" w:rsidRPr="005A4ACE" w:rsidRDefault="008E2DE3" w:rsidP="007879E2">
            <w:pPr>
              <w:jc w:val="center"/>
              <w:rPr>
                <w:sz w:val="20"/>
                <w:szCs w:val="20"/>
              </w:rPr>
            </w:pPr>
            <w:r w:rsidRPr="005A4ACE">
              <w:rPr>
                <w:sz w:val="20"/>
                <w:szCs w:val="20"/>
              </w:rPr>
              <w:t>10:15am</w:t>
            </w:r>
          </w:p>
        </w:tc>
        <w:tc>
          <w:tcPr>
            <w:tcW w:w="6252" w:type="dxa"/>
            <w:tcBorders>
              <w:bottom w:val="single" w:sz="4" w:space="0" w:color="auto"/>
            </w:tcBorders>
          </w:tcPr>
          <w:p w:rsidR="008E2DE3" w:rsidRPr="00655969" w:rsidRDefault="008E2DE3" w:rsidP="00821857">
            <w:pPr>
              <w:jc w:val="both"/>
              <w:rPr>
                <w:rFonts w:cstheme="minorHAnsi"/>
                <w:sz w:val="20"/>
                <w:szCs w:val="20"/>
              </w:rPr>
            </w:pPr>
            <w:r>
              <w:rPr>
                <w:rFonts w:cstheme="minorHAnsi"/>
                <w:sz w:val="20"/>
                <w:szCs w:val="20"/>
              </w:rPr>
              <w:t>BREAK</w:t>
            </w:r>
          </w:p>
        </w:tc>
        <w:tc>
          <w:tcPr>
            <w:tcW w:w="2700" w:type="dxa"/>
            <w:tcBorders>
              <w:bottom w:val="single" w:sz="4" w:space="0" w:color="auto"/>
            </w:tcBorders>
          </w:tcPr>
          <w:p w:rsidR="008E2DE3" w:rsidRPr="00655969" w:rsidRDefault="008E2DE3" w:rsidP="008E2DE3">
            <w:pPr>
              <w:rPr>
                <w:rFonts w:cstheme="minorHAnsi"/>
                <w:sz w:val="20"/>
                <w:szCs w:val="20"/>
              </w:rPr>
            </w:pPr>
            <w:r>
              <w:rPr>
                <w:rFonts w:cstheme="minorHAnsi"/>
                <w:sz w:val="20"/>
                <w:szCs w:val="20"/>
              </w:rPr>
              <w:t xml:space="preserve"> </w:t>
            </w:r>
          </w:p>
        </w:tc>
      </w:tr>
      <w:tr w:rsidR="008E2DE3" w:rsidRPr="00655969" w:rsidTr="00CD536A">
        <w:trPr>
          <w:trHeight w:val="287"/>
        </w:trPr>
        <w:tc>
          <w:tcPr>
            <w:tcW w:w="1060" w:type="dxa"/>
            <w:shd w:val="clear" w:color="auto" w:fill="auto"/>
          </w:tcPr>
          <w:p w:rsidR="008E2DE3" w:rsidRPr="005A4ACE" w:rsidRDefault="008E2DE3" w:rsidP="00112ABF">
            <w:pPr>
              <w:jc w:val="center"/>
              <w:rPr>
                <w:sz w:val="20"/>
                <w:szCs w:val="20"/>
              </w:rPr>
            </w:pPr>
            <w:r w:rsidRPr="005A4ACE">
              <w:rPr>
                <w:sz w:val="20"/>
                <w:szCs w:val="20"/>
              </w:rPr>
              <w:t>10:15am</w:t>
            </w:r>
          </w:p>
        </w:tc>
        <w:tc>
          <w:tcPr>
            <w:tcW w:w="1058" w:type="dxa"/>
            <w:shd w:val="clear" w:color="auto" w:fill="auto"/>
          </w:tcPr>
          <w:p w:rsidR="008E2DE3" w:rsidRPr="005A4ACE" w:rsidRDefault="008E2DE3" w:rsidP="00112ABF">
            <w:pPr>
              <w:jc w:val="center"/>
              <w:rPr>
                <w:sz w:val="20"/>
                <w:szCs w:val="20"/>
              </w:rPr>
            </w:pPr>
            <w:r w:rsidRPr="005A4ACE">
              <w:rPr>
                <w:sz w:val="20"/>
                <w:szCs w:val="20"/>
              </w:rPr>
              <w:t>11:30am</w:t>
            </w:r>
          </w:p>
        </w:tc>
        <w:tc>
          <w:tcPr>
            <w:tcW w:w="6252" w:type="dxa"/>
            <w:shd w:val="clear" w:color="auto" w:fill="auto"/>
          </w:tcPr>
          <w:p w:rsidR="008E2DE3" w:rsidRPr="009D0939" w:rsidRDefault="008E2DE3" w:rsidP="009D0939">
            <w:pPr>
              <w:rPr>
                <w:rFonts w:cstheme="minorHAnsi"/>
                <w:b/>
                <w:sz w:val="20"/>
              </w:rPr>
            </w:pPr>
            <w:r w:rsidRPr="009D0939">
              <w:rPr>
                <w:rFonts w:cstheme="minorHAnsi"/>
                <w:b/>
                <w:sz w:val="20"/>
              </w:rPr>
              <w:t>“What Does Your Data Say? - Defending An EEOC/OFCCP Statistical Analysis Of Your Employment Practices”</w:t>
            </w:r>
          </w:p>
          <w:p w:rsidR="008E2DE3" w:rsidRDefault="008E2DE3" w:rsidP="00821857">
            <w:pPr>
              <w:jc w:val="both"/>
              <w:rPr>
                <w:rFonts w:cstheme="minorHAnsi"/>
                <w:sz w:val="20"/>
              </w:rPr>
            </w:pPr>
          </w:p>
          <w:p w:rsidR="008E2DE3" w:rsidRPr="00DA4716" w:rsidRDefault="008E2DE3" w:rsidP="00821857">
            <w:pPr>
              <w:jc w:val="both"/>
              <w:rPr>
                <w:rFonts w:cstheme="minorHAnsi"/>
                <w:sz w:val="20"/>
                <w:szCs w:val="20"/>
              </w:rPr>
            </w:pPr>
            <w:r w:rsidRPr="00DA4716">
              <w:rPr>
                <w:rFonts w:cstheme="minorHAnsi"/>
                <w:sz w:val="20"/>
                <w:szCs w:val="20"/>
              </w:rPr>
              <w:t>Although employers are making great efforts to create an inclusive workforce, their employee data, if inaccurate or analyzed incorrectly may say differently.  Ms. Call will provide guidance on what employers should expect when the EEOC or OFCCP requests a substantial amount of data about one or more of their employment practices and how to respond to such requests to facilitate an accurate statistical analysis by the agency.  Ms. Call also will focus on the difficulties with responding to challenges to pay practices, and provide recommended best practices.  Specifically, this presentation will address (1) preparing your data for submission to the agency; (2) when and how you should conduct your own analyses before providing data to the agency; (3) what other information should be provided to the agency with your data submittal; and (4) fostering a positive and cooperative dialogue with the agency to facilitate a positive outcome.</w:t>
            </w:r>
          </w:p>
          <w:p w:rsidR="008E2DE3" w:rsidRPr="000A26FD" w:rsidRDefault="008E2DE3" w:rsidP="00821857">
            <w:pPr>
              <w:jc w:val="both"/>
              <w:rPr>
                <w:rFonts w:cstheme="minorHAnsi"/>
                <w:sz w:val="20"/>
                <w:szCs w:val="20"/>
              </w:rPr>
            </w:pPr>
          </w:p>
        </w:tc>
        <w:tc>
          <w:tcPr>
            <w:tcW w:w="2700" w:type="dxa"/>
            <w:shd w:val="clear" w:color="auto" w:fill="auto"/>
          </w:tcPr>
          <w:p w:rsidR="005A4ACE" w:rsidRDefault="005A4ACE" w:rsidP="005A4ACE">
            <w:pPr>
              <w:autoSpaceDE w:val="0"/>
              <w:autoSpaceDN w:val="0"/>
              <w:adjustRightInd w:val="0"/>
              <w:rPr>
                <w:rFonts w:cstheme="minorHAnsi"/>
                <w:sz w:val="20"/>
                <w:szCs w:val="20"/>
              </w:rPr>
            </w:pPr>
            <w:r>
              <w:rPr>
                <w:rFonts w:cstheme="minorHAnsi"/>
                <w:sz w:val="20"/>
                <w:szCs w:val="20"/>
              </w:rPr>
              <w:t xml:space="preserve">Elizabeth A. </w:t>
            </w:r>
            <w:proofErr w:type="spellStart"/>
            <w:r>
              <w:rPr>
                <w:rFonts w:cstheme="minorHAnsi"/>
                <w:sz w:val="20"/>
                <w:szCs w:val="20"/>
              </w:rPr>
              <w:t>Schallop</w:t>
            </w:r>
            <w:proofErr w:type="spellEnd"/>
            <w:r>
              <w:rPr>
                <w:rFonts w:cstheme="minorHAnsi"/>
                <w:sz w:val="20"/>
                <w:szCs w:val="20"/>
              </w:rPr>
              <w:t xml:space="preserve"> Call,</w:t>
            </w:r>
          </w:p>
          <w:p w:rsidR="008E2DE3" w:rsidRPr="00655969" w:rsidRDefault="005A4ACE" w:rsidP="005A4ACE">
            <w:pPr>
              <w:autoSpaceDE w:val="0"/>
              <w:autoSpaceDN w:val="0"/>
              <w:adjustRightInd w:val="0"/>
              <w:rPr>
                <w:rFonts w:cstheme="minorHAnsi"/>
                <w:sz w:val="20"/>
                <w:szCs w:val="20"/>
              </w:rPr>
            </w:pPr>
            <w:r w:rsidRPr="005A4ACE">
              <w:rPr>
                <w:rFonts w:cstheme="minorHAnsi"/>
                <w:sz w:val="20"/>
                <w:szCs w:val="20"/>
              </w:rPr>
              <w:t>Steptoe &amp;</w:t>
            </w:r>
            <w:r>
              <w:rPr>
                <w:rFonts w:cstheme="minorHAnsi"/>
                <w:sz w:val="20"/>
                <w:szCs w:val="20"/>
              </w:rPr>
              <w:t xml:space="preserve"> </w:t>
            </w:r>
            <w:r w:rsidRPr="005A4ACE">
              <w:rPr>
                <w:rFonts w:cstheme="minorHAnsi"/>
                <w:sz w:val="20"/>
                <w:szCs w:val="20"/>
              </w:rPr>
              <w:t>Johnson LLP</w:t>
            </w:r>
            <w:r>
              <w:rPr>
                <w:rFonts w:cstheme="minorHAnsi"/>
                <w:sz w:val="20"/>
                <w:szCs w:val="20"/>
              </w:rPr>
              <w:t>, Counsel</w:t>
            </w:r>
          </w:p>
        </w:tc>
      </w:tr>
      <w:tr w:rsidR="008E2DE3" w:rsidRPr="00655969" w:rsidTr="00CD536A">
        <w:trPr>
          <w:trHeight w:val="302"/>
        </w:trPr>
        <w:tc>
          <w:tcPr>
            <w:tcW w:w="1060" w:type="dxa"/>
          </w:tcPr>
          <w:p w:rsidR="008E2DE3" w:rsidRPr="005A4ACE" w:rsidRDefault="008E2DE3" w:rsidP="00112ABF">
            <w:pPr>
              <w:jc w:val="center"/>
              <w:rPr>
                <w:sz w:val="20"/>
                <w:szCs w:val="20"/>
              </w:rPr>
            </w:pPr>
            <w:r w:rsidRPr="005A4ACE">
              <w:rPr>
                <w:sz w:val="20"/>
                <w:szCs w:val="20"/>
              </w:rPr>
              <w:t>11:30am</w:t>
            </w:r>
          </w:p>
        </w:tc>
        <w:tc>
          <w:tcPr>
            <w:tcW w:w="1058" w:type="dxa"/>
          </w:tcPr>
          <w:p w:rsidR="008E2DE3" w:rsidRPr="005A4ACE" w:rsidRDefault="008E2DE3" w:rsidP="00112ABF">
            <w:pPr>
              <w:jc w:val="center"/>
              <w:rPr>
                <w:sz w:val="20"/>
                <w:szCs w:val="20"/>
              </w:rPr>
            </w:pPr>
            <w:r w:rsidRPr="005A4ACE">
              <w:rPr>
                <w:sz w:val="20"/>
                <w:szCs w:val="20"/>
              </w:rPr>
              <w:t>11:45am</w:t>
            </w:r>
          </w:p>
        </w:tc>
        <w:tc>
          <w:tcPr>
            <w:tcW w:w="6252" w:type="dxa"/>
          </w:tcPr>
          <w:p w:rsidR="008E2DE3" w:rsidRPr="00655969" w:rsidRDefault="008E2DE3" w:rsidP="00821857">
            <w:pPr>
              <w:jc w:val="both"/>
              <w:rPr>
                <w:rFonts w:cstheme="minorHAnsi"/>
                <w:sz w:val="20"/>
                <w:szCs w:val="20"/>
              </w:rPr>
            </w:pPr>
            <w:r w:rsidRPr="00655969">
              <w:rPr>
                <w:rFonts w:cstheme="minorHAnsi"/>
                <w:sz w:val="20"/>
                <w:szCs w:val="20"/>
              </w:rPr>
              <w:t>BREAK</w:t>
            </w:r>
          </w:p>
        </w:tc>
        <w:tc>
          <w:tcPr>
            <w:tcW w:w="2700" w:type="dxa"/>
          </w:tcPr>
          <w:p w:rsidR="008E2DE3" w:rsidRPr="00655969" w:rsidRDefault="008E2DE3" w:rsidP="008E2DE3">
            <w:pPr>
              <w:rPr>
                <w:rFonts w:cstheme="minorHAnsi"/>
                <w:sz w:val="20"/>
                <w:szCs w:val="20"/>
              </w:rPr>
            </w:pPr>
          </w:p>
        </w:tc>
      </w:tr>
      <w:tr w:rsidR="008E2DE3" w:rsidRPr="00655969" w:rsidTr="00CD536A">
        <w:trPr>
          <w:trHeight w:val="588"/>
        </w:trPr>
        <w:tc>
          <w:tcPr>
            <w:tcW w:w="1060" w:type="dxa"/>
          </w:tcPr>
          <w:p w:rsidR="008E2DE3" w:rsidRPr="005A4ACE" w:rsidRDefault="008E2DE3" w:rsidP="00112ABF">
            <w:pPr>
              <w:jc w:val="center"/>
              <w:rPr>
                <w:sz w:val="20"/>
                <w:szCs w:val="20"/>
              </w:rPr>
            </w:pPr>
            <w:r w:rsidRPr="005A4ACE">
              <w:rPr>
                <w:sz w:val="20"/>
                <w:szCs w:val="20"/>
              </w:rPr>
              <w:lastRenderedPageBreak/>
              <w:t>11:45am</w:t>
            </w:r>
          </w:p>
        </w:tc>
        <w:tc>
          <w:tcPr>
            <w:tcW w:w="1058" w:type="dxa"/>
          </w:tcPr>
          <w:p w:rsidR="008E2DE3" w:rsidRPr="005A4ACE" w:rsidRDefault="008E2DE3" w:rsidP="007879E2">
            <w:pPr>
              <w:rPr>
                <w:sz w:val="20"/>
                <w:szCs w:val="20"/>
              </w:rPr>
            </w:pPr>
            <w:r w:rsidRPr="005A4ACE">
              <w:rPr>
                <w:sz w:val="20"/>
                <w:szCs w:val="20"/>
              </w:rPr>
              <w:t>1:15pm</w:t>
            </w:r>
          </w:p>
        </w:tc>
        <w:tc>
          <w:tcPr>
            <w:tcW w:w="6252" w:type="dxa"/>
          </w:tcPr>
          <w:p w:rsidR="008E2DE3" w:rsidRPr="009D0939" w:rsidRDefault="008E2DE3" w:rsidP="00821857">
            <w:pPr>
              <w:jc w:val="both"/>
              <w:rPr>
                <w:rFonts w:eastAsia="Times New Roman" w:cstheme="minorHAnsi"/>
                <w:b/>
                <w:color w:val="000000"/>
                <w:sz w:val="20"/>
                <w:szCs w:val="20"/>
              </w:rPr>
            </w:pPr>
            <w:r w:rsidRPr="009D0939">
              <w:rPr>
                <w:rFonts w:cstheme="minorHAnsi"/>
                <w:b/>
                <w:sz w:val="20"/>
                <w:szCs w:val="20"/>
              </w:rPr>
              <w:t>LUNCH &amp; Keynote: “</w:t>
            </w:r>
            <w:r w:rsidRPr="009D0939">
              <w:rPr>
                <w:rFonts w:eastAsia="Times New Roman" w:cstheme="minorHAnsi"/>
                <w:b/>
                <w:color w:val="000000"/>
                <w:sz w:val="20"/>
                <w:szCs w:val="20"/>
              </w:rPr>
              <w:t>Diversity - Generational Differences”</w:t>
            </w:r>
          </w:p>
          <w:p w:rsidR="008E2DE3" w:rsidRPr="00655969" w:rsidRDefault="008E2DE3" w:rsidP="00821857">
            <w:pPr>
              <w:jc w:val="both"/>
              <w:rPr>
                <w:rFonts w:cstheme="minorHAnsi"/>
                <w:sz w:val="20"/>
                <w:szCs w:val="20"/>
              </w:rPr>
            </w:pPr>
          </w:p>
        </w:tc>
        <w:tc>
          <w:tcPr>
            <w:tcW w:w="2700" w:type="dxa"/>
          </w:tcPr>
          <w:p w:rsidR="008E2DE3" w:rsidRPr="00655969" w:rsidRDefault="008E2DE3" w:rsidP="00CD536A">
            <w:pPr>
              <w:rPr>
                <w:rFonts w:cstheme="minorHAnsi"/>
                <w:sz w:val="20"/>
                <w:szCs w:val="20"/>
              </w:rPr>
            </w:pPr>
            <w:r w:rsidRPr="00655969">
              <w:rPr>
                <w:rFonts w:cstheme="minorHAnsi"/>
                <w:sz w:val="20"/>
                <w:szCs w:val="20"/>
              </w:rPr>
              <w:t>Ron Glover, VP-Global Compliance/Diversity</w:t>
            </w:r>
            <w:r w:rsidR="00CD536A">
              <w:rPr>
                <w:rFonts w:cstheme="minorHAnsi"/>
                <w:sz w:val="20"/>
                <w:szCs w:val="20"/>
              </w:rPr>
              <w:t xml:space="preserve"> </w:t>
            </w:r>
            <w:r>
              <w:rPr>
                <w:rFonts w:cstheme="minorHAnsi"/>
                <w:sz w:val="20"/>
                <w:szCs w:val="20"/>
              </w:rPr>
              <w:t>Inclusion</w:t>
            </w:r>
            <w:r w:rsidR="00CD536A">
              <w:rPr>
                <w:rFonts w:cstheme="minorHAnsi"/>
                <w:sz w:val="20"/>
                <w:szCs w:val="20"/>
              </w:rPr>
              <w:t xml:space="preserve"> </w:t>
            </w:r>
            <w:r w:rsidRPr="00655969">
              <w:rPr>
                <w:rFonts w:cstheme="minorHAnsi"/>
                <w:sz w:val="20"/>
                <w:szCs w:val="20"/>
              </w:rPr>
              <w:t>IBM Corporation</w:t>
            </w:r>
          </w:p>
        </w:tc>
      </w:tr>
      <w:tr w:rsidR="008E2DE3" w:rsidRPr="00655969" w:rsidTr="00CD536A">
        <w:trPr>
          <w:trHeight w:val="287"/>
        </w:trPr>
        <w:tc>
          <w:tcPr>
            <w:tcW w:w="1060" w:type="dxa"/>
          </w:tcPr>
          <w:p w:rsidR="008E2DE3" w:rsidRPr="005A4ACE" w:rsidRDefault="008E2DE3" w:rsidP="00112ABF">
            <w:pPr>
              <w:jc w:val="center"/>
              <w:rPr>
                <w:sz w:val="20"/>
                <w:szCs w:val="20"/>
              </w:rPr>
            </w:pPr>
            <w:r w:rsidRPr="005A4ACE">
              <w:rPr>
                <w:sz w:val="20"/>
                <w:szCs w:val="20"/>
              </w:rPr>
              <w:t>1:15pm</w:t>
            </w:r>
          </w:p>
        </w:tc>
        <w:tc>
          <w:tcPr>
            <w:tcW w:w="1058" w:type="dxa"/>
          </w:tcPr>
          <w:p w:rsidR="008E2DE3" w:rsidRPr="005A4ACE" w:rsidRDefault="008E2DE3" w:rsidP="007879E2">
            <w:pPr>
              <w:rPr>
                <w:sz w:val="20"/>
                <w:szCs w:val="20"/>
              </w:rPr>
            </w:pPr>
            <w:r w:rsidRPr="005A4ACE">
              <w:rPr>
                <w:sz w:val="20"/>
                <w:szCs w:val="20"/>
              </w:rPr>
              <w:t>2:15pm</w:t>
            </w:r>
          </w:p>
        </w:tc>
        <w:tc>
          <w:tcPr>
            <w:tcW w:w="6252" w:type="dxa"/>
          </w:tcPr>
          <w:p w:rsidR="00334486" w:rsidRPr="00334486" w:rsidRDefault="00334486" w:rsidP="00473818">
            <w:pPr>
              <w:jc w:val="both"/>
              <w:rPr>
                <w:sz w:val="12"/>
                <w:szCs w:val="20"/>
              </w:rPr>
            </w:pPr>
            <w:r w:rsidRPr="00334486">
              <w:rPr>
                <w:rFonts w:ascii="Calibri" w:eastAsia="Calibri" w:hAnsi="Calibri" w:cs="Calibri"/>
                <w:b/>
                <w:bCs/>
                <w:sz w:val="20"/>
                <w:szCs w:val="32"/>
              </w:rPr>
              <w:t>“The New Census Data &amp; AA Compliance: Understanding the Impact!</w:t>
            </w:r>
            <w:r>
              <w:rPr>
                <w:rFonts w:ascii="Calibri" w:eastAsia="Calibri" w:hAnsi="Calibri" w:cs="Calibri"/>
                <w:b/>
                <w:bCs/>
                <w:sz w:val="20"/>
                <w:szCs w:val="32"/>
              </w:rPr>
              <w:t>”</w:t>
            </w:r>
          </w:p>
          <w:p w:rsidR="009175E5" w:rsidRDefault="009175E5" w:rsidP="00473818">
            <w:pPr>
              <w:jc w:val="both"/>
              <w:rPr>
                <w:sz w:val="20"/>
                <w:szCs w:val="20"/>
              </w:rPr>
            </w:pPr>
          </w:p>
          <w:p w:rsidR="009175E5" w:rsidRPr="009175E5" w:rsidRDefault="009175E5" w:rsidP="009175E5">
            <w:pPr>
              <w:rPr>
                <w:rFonts w:ascii="Calibri" w:hAnsi="Calibri" w:cs="Calibri"/>
                <w:sz w:val="20"/>
                <w:szCs w:val="20"/>
              </w:rPr>
            </w:pPr>
            <w:r w:rsidRPr="009175E5">
              <w:rPr>
                <w:rFonts w:ascii="Calibri" w:hAnsi="Calibri" w:cs="Calibri"/>
                <w:sz w:val="20"/>
                <w:szCs w:val="20"/>
              </w:rPr>
              <w:t xml:space="preserve">This session will focus on the new census data and its impact on affirmative action compliance. Participants will be introduced to the American Community Survey (ACS), the tool used to collect the race, gender, and occupation data. Attendees will receive an expert comparison of the 2000 census data versus the 2010 ACS data, and leave with a better understanding of how these changes may impact affirmative action plans, as well as HRIS systems.  </w:t>
            </w:r>
            <w:bookmarkStart w:id="0" w:name="_GoBack"/>
            <w:bookmarkEnd w:id="0"/>
          </w:p>
          <w:p w:rsidR="009175E5" w:rsidRPr="00655969" w:rsidRDefault="009175E5" w:rsidP="00473818">
            <w:pPr>
              <w:jc w:val="both"/>
              <w:rPr>
                <w:sz w:val="20"/>
                <w:szCs w:val="20"/>
              </w:rPr>
            </w:pPr>
          </w:p>
        </w:tc>
        <w:tc>
          <w:tcPr>
            <w:tcW w:w="2700" w:type="dxa"/>
          </w:tcPr>
          <w:p w:rsidR="002D3125" w:rsidRPr="00655969" w:rsidRDefault="002D3125" w:rsidP="002D3125">
            <w:pPr>
              <w:rPr>
                <w:sz w:val="20"/>
                <w:szCs w:val="20"/>
              </w:rPr>
            </w:pPr>
            <w:r w:rsidRPr="002D3125">
              <w:rPr>
                <w:rFonts w:ascii="Calibri" w:eastAsia="Calibri" w:hAnsi="Calibri" w:cs="Calibri"/>
                <w:bCs/>
                <w:sz w:val="20"/>
                <w:szCs w:val="32"/>
              </w:rPr>
              <w:t>Nicole Butts, SPHR</w:t>
            </w:r>
            <w:r>
              <w:rPr>
                <w:rFonts w:ascii="Calibri" w:eastAsia="Calibri" w:hAnsi="Calibri" w:cs="Calibri"/>
                <w:bCs/>
                <w:sz w:val="20"/>
                <w:szCs w:val="32"/>
              </w:rPr>
              <w:t>, Berkshire Associates, Inc., Training Manager</w:t>
            </w:r>
          </w:p>
        </w:tc>
      </w:tr>
      <w:tr w:rsidR="008E2DE3" w:rsidRPr="00655969" w:rsidTr="00CD536A">
        <w:trPr>
          <w:trHeight w:val="287"/>
        </w:trPr>
        <w:tc>
          <w:tcPr>
            <w:tcW w:w="1060" w:type="dxa"/>
          </w:tcPr>
          <w:p w:rsidR="008E2DE3" w:rsidRPr="005A4ACE" w:rsidRDefault="008E2DE3" w:rsidP="00F73BA0">
            <w:pPr>
              <w:jc w:val="center"/>
              <w:rPr>
                <w:sz w:val="20"/>
                <w:szCs w:val="20"/>
              </w:rPr>
            </w:pPr>
            <w:r w:rsidRPr="005A4ACE">
              <w:rPr>
                <w:sz w:val="20"/>
                <w:szCs w:val="20"/>
              </w:rPr>
              <w:t>2:15pm</w:t>
            </w:r>
          </w:p>
        </w:tc>
        <w:tc>
          <w:tcPr>
            <w:tcW w:w="1058" w:type="dxa"/>
          </w:tcPr>
          <w:p w:rsidR="008E2DE3" w:rsidRPr="005A4ACE" w:rsidRDefault="008E2DE3" w:rsidP="00526E87">
            <w:pPr>
              <w:jc w:val="center"/>
              <w:rPr>
                <w:sz w:val="20"/>
                <w:szCs w:val="20"/>
              </w:rPr>
            </w:pPr>
            <w:r w:rsidRPr="005A4ACE">
              <w:rPr>
                <w:sz w:val="20"/>
                <w:szCs w:val="20"/>
              </w:rPr>
              <w:t>3:15pm</w:t>
            </w:r>
          </w:p>
        </w:tc>
        <w:tc>
          <w:tcPr>
            <w:tcW w:w="6252" w:type="dxa"/>
          </w:tcPr>
          <w:p w:rsidR="008E2DE3" w:rsidRPr="009D6EC7" w:rsidRDefault="00327260" w:rsidP="00821857">
            <w:pPr>
              <w:jc w:val="both"/>
              <w:rPr>
                <w:rFonts w:ascii="Calibri" w:hAnsi="Calibri" w:cs="Calibri"/>
                <w:sz w:val="20"/>
                <w:szCs w:val="20"/>
              </w:rPr>
            </w:pPr>
            <w:r w:rsidRPr="009D0939">
              <w:rPr>
                <w:rFonts w:ascii="Calibri" w:eastAsia="Calibri" w:hAnsi="Calibri" w:cs="Times New Roman"/>
                <w:b/>
                <w:sz w:val="20"/>
              </w:rPr>
              <w:t>“</w:t>
            </w:r>
            <w:r w:rsidR="00552CFF">
              <w:rPr>
                <w:rFonts w:ascii="Calibri" w:eastAsia="Calibri" w:hAnsi="Calibri" w:cs="Times New Roman"/>
                <w:b/>
                <w:sz w:val="20"/>
              </w:rPr>
              <w:t xml:space="preserve">Creating an Inclusive Workplace: </w:t>
            </w:r>
            <w:r>
              <w:rPr>
                <w:rFonts w:ascii="Calibri" w:eastAsia="Calibri" w:hAnsi="Calibri" w:cs="Times New Roman"/>
                <w:b/>
                <w:sz w:val="20"/>
              </w:rPr>
              <w:t>The Purpose of Affirmative Action Programs”</w:t>
            </w:r>
          </w:p>
          <w:p w:rsidR="009D6EC7" w:rsidRPr="009D6EC7" w:rsidRDefault="009D6EC7" w:rsidP="00821857">
            <w:pPr>
              <w:jc w:val="both"/>
              <w:rPr>
                <w:rFonts w:ascii="Calibri" w:hAnsi="Calibri" w:cs="Calibri"/>
                <w:sz w:val="20"/>
                <w:szCs w:val="20"/>
              </w:rPr>
            </w:pPr>
          </w:p>
          <w:p w:rsidR="009D6EC7" w:rsidRDefault="009D6EC7" w:rsidP="009D6EC7">
            <w:pPr>
              <w:jc w:val="both"/>
              <w:rPr>
                <w:rFonts w:ascii="Calibri" w:hAnsi="Calibri" w:cs="Calibri"/>
                <w:sz w:val="20"/>
                <w:szCs w:val="20"/>
              </w:rPr>
            </w:pPr>
            <w:r w:rsidRPr="009D6EC7">
              <w:rPr>
                <w:rFonts w:ascii="Calibri" w:hAnsi="Calibri" w:cs="Calibri"/>
                <w:sz w:val="20"/>
                <w:szCs w:val="20"/>
              </w:rPr>
              <w:t>Consistent with the Conference theme: “Workplace Equality: Creating an Inclusive Workplace,”  OFCCP will lead a discussion on the purpose of Affirmative Action Programs; the required quantitative analyses prescribed by the regulations at  41 CFR 60-2.11 through 41 CFR 60-2.16; and the additional Affirmative Action Program elements required by 41 CFR 60-2.17.  Emphasis will be placed on assessing incumbency with respect to availability; when establishing placement goals are necessary; and the Good Faith Efforts OFCCP expects Federal contractors and subcontractors to take toward achieving established placement goals.</w:t>
            </w:r>
          </w:p>
          <w:p w:rsidR="009D6EC7" w:rsidRPr="009D6EC7" w:rsidRDefault="009D6EC7" w:rsidP="009D6EC7">
            <w:pPr>
              <w:jc w:val="both"/>
              <w:rPr>
                <w:rFonts w:ascii="Calibri" w:hAnsi="Calibri" w:cs="Calibri"/>
                <w:sz w:val="20"/>
                <w:szCs w:val="20"/>
              </w:rPr>
            </w:pPr>
          </w:p>
        </w:tc>
        <w:tc>
          <w:tcPr>
            <w:tcW w:w="2700" w:type="dxa"/>
          </w:tcPr>
          <w:p w:rsidR="008E2DE3" w:rsidRDefault="00E151CA" w:rsidP="008E2DE3">
            <w:pPr>
              <w:rPr>
                <w:rFonts w:ascii="Calibri" w:hAnsi="Calibri" w:cs="Calibri"/>
                <w:sz w:val="20"/>
                <w:szCs w:val="20"/>
              </w:rPr>
            </w:pPr>
            <w:r>
              <w:rPr>
                <w:rFonts w:ascii="Calibri" w:hAnsi="Calibri" w:cs="Calibri"/>
                <w:sz w:val="20"/>
                <w:szCs w:val="20"/>
              </w:rPr>
              <w:t>Cody Cummings, OFCCP Phoenix</w:t>
            </w:r>
            <w:r w:rsidR="00571901">
              <w:rPr>
                <w:rFonts w:ascii="Calibri" w:hAnsi="Calibri" w:cs="Calibri"/>
                <w:sz w:val="20"/>
                <w:szCs w:val="20"/>
              </w:rPr>
              <w:t xml:space="preserve"> </w:t>
            </w:r>
            <w:r>
              <w:rPr>
                <w:rFonts w:ascii="Calibri" w:hAnsi="Calibri" w:cs="Calibri"/>
                <w:sz w:val="20"/>
                <w:szCs w:val="20"/>
              </w:rPr>
              <w:t>Senior Compliance Officer</w:t>
            </w:r>
          </w:p>
          <w:p w:rsidR="00E151CA" w:rsidRDefault="00E151CA" w:rsidP="008E2DE3">
            <w:pPr>
              <w:rPr>
                <w:rFonts w:ascii="Calibri" w:hAnsi="Calibri" w:cs="Calibri"/>
                <w:sz w:val="20"/>
                <w:szCs w:val="20"/>
              </w:rPr>
            </w:pPr>
          </w:p>
          <w:p w:rsidR="00E151CA" w:rsidRPr="00E151CA" w:rsidRDefault="00E151CA" w:rsidP="008E2DE3">
            <w:pPr>
              <w:rPr>
                <w:rFonts w:ascii="Calibri" w:hAnsi="Calibri" w:cs="Calibri"/>
                <w:sz w:val="20"/>
                <w:szCs w:val="20"/>
              </w:rPr>
            </w:pPr>
            <w:r>
              <w:rPr>
                <w:rFonts w:ascii="Calibri" w:hAnsi="Calibri" w:cs="Calibri"/>
                <w:sz w:val="20"/>
                <w:szCs w:val="20"/>
              </w:rPr>
              <w:t>Timothy Cox, OFCCP Phoenix</w:t>
            </w:r>
            <w:r w:rsidR="00571901">
              <w:rPr>
                <w:rFonts w:ascii="Calibri" w:hAnsi="Calibri" w:cs="Calibri"/>
                <w:sz w:val="20"/>
                <w:szCs w:val="20"/>
              </w:rPr>
              <w:t xml:space="preserve"> </w:t>
            </w:r>
            <w:r>
              <w:rPr>
                <w:rFonts w:ascii="Calibri" w:hAnsi="Calibri" w:cs="Calibri"/>
                <w:sz w:val="20"/>
                <w:szCs w:val="20"/>
              </w:rPr>
              <w:t>Compliance Officer</w:t>
            </w:r>
          </w:p>
          <w:p w:rsidR="00E151CA" w:rsidRPr="00655969" w:rsidRDefault="00E151CA" w:rsidP="008E2DE3">
            <w:pPr>
              <w:rPr>
                <w:sz w:val="20"/>
                <w:szCs w:val="20"/>
              </w:rPr>
            </w:pPr>
          </w:p>
        </w:tc>
      </w:tr>
      <w:tr w:rsidR="008E2DE3" w:rsidRPr="00655969" w:rsidTr="00CD536A">
        <w:trPr>
          <w:trHeight w:val="302"/>
        </w:trPr>
        <w:tc>
          <w:tcPr>
            <w:tcW w:w="1060" w:type="dxa"/>
          </w:tcPr>
          <w:p w:rsidR="008E2DE3" w:rsidRPr="005A4ACE" w:rsidRDefault="008E2DE3" w:rsidP="00FF69CC">
            <w:pPr>
              <w:jc w:val="center"/>
              <w:rPr>
                <w:sz w:val="20"/>
                <w:szCs w:val="20"/>
              </w:rPr>
            </w:pPr>
            <w:r w:rsidRPr="005A4ACE">
              <w:rPr>
                <w:sz w:val="20"/>
                <w:szCs w:val="20"/>
              </w:rPr>
              <w:t>3:15pm</w:t>
            </w:r>
          </w:p>
        </w:tc>
        <w:tc>
          <w:tcPr>
            <w:tcW w:w="1058" w:type="dxa"/>
          </w:tcPr>
          <w:p w:rsidR="008E2DE3" w:rsidRPr="005A4ACE" w:rsidRDefault="008E2DE3" w:rsidP="00FF69CC">
            <w:pPr>
              <w:jc w:val="center"/>
              <w:rPr>
                <w:sz w:val="20"/>
                <w:szCs w:val="20"/>
              </w:rPr>
            </w:pPr>
            <w:r w:rsidRPr="005A4ACE">
              <w:rPr>
                <w:sz w:val="20"/>
                <w:szCs w:val="20"/>
              </w:rPr>
              <w:t>3:30pm</w:t>
            </w:r>
          </w:p>
        </w:tc>
        <w:tc>
          <w:tcPr>
            <w:tcW w:w="6252" w:type="dxa"/>
          </w:tcPr>
          <w:p w:rsidR="008E2DE3" w:rsidRPr="00655969" w:rsidRDefault="008E2DE3" w:rsidP="00821857">
            <w:pPr>
              <w:jc w:val="both"/>
              <w:rPr>
                <w:sz w:val="20"/>
                <w:szCs w:val="20"/>
              </w:rPr>
            </w:pPr>
            <w:r w:rsidRPr="00655969">
              <w:rPr>
                <w:sz w:val="20"/>
                <w:szCs w:val="20"/>
              </w:rPr>
              <w:t>BREAK</w:t>
            </w:r>
          </w:p>
        </w:tc>
        <w:tc>
          <w:tcPr>
            <w:tcW w:w="2700" w:type="dxa"/>
          </w:tcPr>
          <w:p w:rsidR="008E2DE3" w:rsidRPr="00655969" w:rsidRDefault="008E2DE3" w:rsidP="008E2DE3">
            <w:pPr>
              <w:rPr>
                <w:sz w:val="20"/>
                <w:szCs w:val="20"/>
              </w:rPr>
            </w:pPr>
          </w:p>
        </w:tc>
      </w:tr>
      <w:tr w:rsidR="008E2DE3" w:rsidRPr="00655969" w:rsidTr="00CD536A">
        <w:trPr>
          <w:trHeight w:val="287"/>
        </w:trPr>
        <w:tc>
          <w:tcPr>
            <w:tcW w:w="1060" w:type="dxa"/>
          </w:tcPr>
          <w:p w:rsidR="008E2DE3" w:rsidRPr="005A4ACE" w:rsidRDefault="008E2DE3" w:rsidP="00FF69CC">
            <w:pPr>
              <w:jc w:val="center"/>
              <w:rPr>
                <w:sz w:val="20"/>
                <w:szCs w:val="20"/>
              </w:rPr>
            </w:pPr>
            <w:r w:rsidRPr="005A4ACE">
              <w:rPr>
                <w:sz w:val="20"/>
                <w:szCs w:val="20"/>
              </w:rPr>
              <w:t>3:30pm</w:t>
            </w:r>
          </w:p>
        </w:tc>
        <w:tc>
          <w:tcPr>
            <w:tcW w:w="1058" w:type="dxa"/>
          </w:tcPr>
          <w:p w:rsidR="008E2DE3" w:rsidRPr="005A4ACE" w:rsidRDefault="008E2DE3" w:rsidP="00F513C0">
            <w:pPr>
              <w:jc w:val="center"/>
              <w:rPr>
                <w:sz w:val="20"/>
                <w:szCs w:val="20"/>
              </w:rPr>
            </w:pPr>
            <w:r w:rsidRPr="005A4ACE">
              <w:rPr>
                <w:sz w:val="20"/>
                <w:szCs w:val="20"/>
              </w:rPr>
              <w:t>4:45pm</w:t>
            </w:r>
          </w:p>
        </w:tc>
        <w:tc>
          <w:tcPr>
            <w:tcW w:w="6252" w:type="dxa"/>
          </w:tcPr>
          <w:p w:rsidR="008E2DE3" w:rsidRPr="009D0939" w:rsidRDefault="008E2DE3" w:rsidP="009D0939">
            <w:pPr>
              <w:rPr>
                <w:b/>
                <w:sz w:val="20"/>
              </w:rPr>
            </w:pPr>
            <w:r w:rsidRPr="009D0939">
              <w:rPr>
                <w:rFonts w:ascii="Calibri" w:eastAsia="Calibri" w:hAnsi="Calibri" w:cs="Times New Roman"/>
                <w:b/>
                <w:sz w:val="20"/>
              </w:rPr>
              <w:t xml:space="preserve">“Progress in Pursuit of Workplace Equality:  </w:t>
            </w:r>
            <w:r w:rsidRPr="009D0939">
              <w:rPr>
                <w:rFonts w:ascii="Calibri" w:eastAsia="Calibri" w:hAnsi="Calibri" w:cs="Times New Roman"/>
                <w:b/>
                <w:sz w:val="20"/>
                <w:u w:val="single"/>
              </w:rPr>
              <w:t>An EEOC Legal Update</w:t>
            </w:r>
            <w:r w:rsidRPr="009D0939">
              <w:rPr>
                <w:rFonts w:ascii="Calibri" w:eastAsia="Calibri" w:hAnsi="Calibri" w:cs="Times New Roman"/>
                <w:b/>
                <w:sz w:val="20"/>
              </w:rPr>
              <w:t>”</w:t>
            </w:r>
          </w:p>
          <w:p w:rsidR="008E2DE3" w:rsidRPr="00B07024" w:rsidRDefault="008E2DE3" w:rsidP="00821857">
            <w:pPr>
              <w:jc w:val="both"/>
              <w:rPr>
                <w:sz w:val="18"/>
              </w:rPr>
            </w:pPr>
          </w:p>
          <w:p w:rsidR="008E2DE3" w:rsidRPr="00B07024" w:rsidRDefault="008E2DE3" w:rsidP="00821857">
            <w:pPr>
              <w:jc w:val="both"/>
              <w:rPr>
                <w:rFonts w:ascii="Calibri" w:eastAsia="Calibri" w:hAnsi="Calibri" w:cs="Times New Roman"/>
                <w:sz w:val="20"/>
              </w:rPr>
            </w:pPr>
            <w:r w:rsidRPr="00B07024">
              <w:rPr>
                <w:rFonts w:ascii="Calibri" w:eastAsia="Calibri" w:hAnsi="Calibri" w:cs="Times New Roman"/>
                <w:sz w:val="20"/>
              </w:rPr>
              <w:t xml:space="preserve">The EEOC legal team worked diligently in Fiscal Year 2012 to level the playing field on behalf of workers.   The Phoenix District Office resolved litigation on behalf of individuals alleging they were discriminated against because of their hearing impairment, neck impairment, HIV status, Fibromyalgia, and intellectual disabilities.  Once again, several lawsuits were resolved involving sexual harassment.  The victims of sexual harassment or retaliation were both men and women.   The legal team also resolved a lawsuit against a school district that alleged the retirement plans disadvantaged older workers.  Hear more about these cases as well as others from Regional Attorney, Mary Jo O’Neill. </w:t>
            </w:r>
          </w:p>
          <w:p w:rsidR="008E2DE3" w:rsidRPr="00655969" w:rsidRDefault="008E2DE3" w:rsidP="00821857">
            <w:pPr>
              <w:jc w:val="both"/>
              <w:rPr>
                <w:sz w:val="20"/>
                <w:szCs w:val="20"/>
              </w:rPr>
            </w:pPr>
          </w:p>
        </w:tc>
        <w:tc>
          <w:tcPr>
            <w:tcW w:w="2700" w:type="dxa"/>
          </w:tcPr>
          <w:p w:rsidR="008E2DE3" w:rsidRPr="00097119" w:rsidRDefault="008E2DE3" w:rsidP="008E2DE3">
            <w:pPr>
              <w:rPr>
                <w:rFonts w:ascii="Calibri" w:eastAsia="Calibri" w:hAnsi="Calibri" w:cs="Times New Roman"/>
                <w:sz w:val="20"/>
              </w:rPr>
            </w:pPr>
            <w:r w:rsidRPr="00097119">
              <w:rPr>
                <w:rFonts w:ascii="Calibri" w:eastAsia="Calibri" w:hAnsi="Calibri" w:cs="Times New Roman"/>
                <w:sz w:val="20"/>
              </w:rPr>
              <w:t>Mary Jo O’Neill</w:t>
            </w:r>
            <w:r>
              <w:rPr>
                <w:sz w:val="20"/>
              </w:rPr>
              <w:t xml:space="preserve">, </w:t>
            </w:r>
            <w:r w:rsidRPr="00097119">
              <w:rPr>
                <w:rFonts w:ascii="Calibri" w:eastAsia="Calibri" w:hAnsi="Calibri" w:cs="Times New Roman"/>
                <w:sz w:val="20"/>
              </w:rPr>
              <w:t>EEOC Phoenix</w:t>
            </w:r>
            <w:r>
              <w:rPr>
                <w:sz w:val="20"/>
              </w:rPr>
              <w:t xml:space="preserve"> </w:t>
            </w:r>
            <w:r w:rsidRPr="00097119">
              <w:rPr>
                <w:rFonts w:ascii="Calibri" w:eastAsia="Calibri" w:hAnsi="Calibri" w:cs="Times New Roman"/>
                <w:sz w:val="20"/>
              </w:rPr>
              <w:t>Regional Attorney</w:t>
            </w:r>
          </w:p>
          <w:p w:rsidR="008E2DE3" w:rsidRPr="00655969" w:rsidRDefault="008E2DE3" w:rsidP="008E2DE3">
            <w:pPr>
              <w:rPr>
                <w:sz w:val="20"/>
                <w:szCs w:val="20"/>
              </w:rPr>
            </w:pPr>
          </w:p>
        </w:tc>
      </w:tr>
      <w:tr w:rsidR="008E2DE3" w:rsidRPr="00655969" w:rsidTr="00CD536A">
        <w:trPr>
          <w:trHeight w:val="302"/>
        </w:trPr>
        <w:tc>
          <w:tcPr>
            <w:tcW w:w="1060" w:type="dxa"/>
          </w:tcPr>
          <w:p w:rsidR="008E2DE3" w:rsidRPr="005A4ACE" w:rsidRDefault="008E2DE3" w:rsidP="00F513C0">
            <w:pPr>
              <w:jc w:val="center"/>
              <w:rPr>
                <w:sz w:val="20"/>
                <w:szCs w:val="20"/>
              </w:rPr>
            </w:pPr>
            <w:r w:rsidRPr="005A4ACE">
              <w:rPr>
                <w:sz w:val="20"/>
                <w:szCs w:val="20"/>
              </w:rPr>
              <w:t>4:45pm</w:t>
            </w:r>
          </w:p>
        </w:tc>
        <w:tc>
          <w:tcPr>
            <w:tcW w:w="1058" w:type="dxa"/>
          </w:tcPr>
          <w:p w:rsidR="008E2DE3" w:rsidRPr="005A4ACE" w:rsidRDefault="008E2DE3" w:rsidP="00F73BA0">
            <w:pPr>
              <w:jc w:val="center"/>
              <w:rPr>
                <w:sz w:val="20"/>
                <w:szCs w:val="20"/>
              </w:rPr>
            </w:pPr>
            <w:r w:rsidRPr="005A4ACE">
              <w:rPr>
                <w:sz w:val="20"/>
                <w:szCs w:val="20"/>
              </w:rPr>
              <w:t>5:00pm</w:t>
            </w:r>
          </w:p>
        </w:tc>
        <w:tc>
          <w:tcPr>
            <w:tcW w:w="6252" w:type="dxa"/>
          </w:tcPr>
          <w:p w:rsidR="008E2DE3" w:rsidRPr="00655969" w:rsidRDefault="008E2DE3" w:rsidP="00821857">
            <w:pPr>
              <w:jc w:val="both"/>
              <w:rPr>
                <w:sz w:val="20"/>
                <w:szCs w:val="20"/>
              </w:rPr>
            </w:pPr>
            <w:r w:rsidRPr="00655969">
              <w:rPr>
                <w:sz w:val="20"/>
                <w:szCs w:val="20"/>
              </w:rPr>
              <w:t>Raffle/Closing</w:t>
            </w:r>
          </w:p>
        </w:tc>
        <w:tc>
          <w:tcPr>
            <w:tcW w:w="2700" w:type="dxa"/>
          </w:tcPr>
          <w:p w:rsidR="0031166F" w:rsidRPr="00655969" w:rsidRDefault="0031166F" w:rsidP="0031166F">
            <w:pPr>
              <w:rPr>
                <w:sz w:val="20"/>
                <w:szCs w:val="20"/>
              </w:rPr>
            </w:pPr>
            <w:r w:rsidRPr="00655969">
              <w:rPr>
                <w:sz w:val="20"/>
                <w:szCs w:val="20"/>
              </w:rPr>
              <w:t>John A Garza</w:t>
            </w:r>
            <w:r>
              <w:rPr>
                <w:sz w:val="20"/>
                <w:szCs w:val="20"/>
              </w:rPr>
              <w:t xml:space="preserve">, </w:t>
            </w:r>
          </w:p>
          <w:p w:rsidR="008E2DE3" w:rsidRPr="00655969" w:rsidRDefault="0031166F" w:rsidP="0031166F">
            <w:pPr>
              <w:rPr>
                <w:sz w:val="20"/>
                <w:szCs w:val="20"/>
              </w:rPr>
            </w:pPr>
            <w:proofErr w:type="spellStart"/>
            <w:r>
              <w:rPr>
                <w:sz w:val="20"/>
                <w:szCs w:val="20"/>
              </w:rPr>
              <w:t>AZilg</w:t>
            </w:r>
            <w:proofErr w:type="spellEnd"/>
            <w:r>
              <w:rPr>
                <w:sz w:val="20"/>
                <w:szCs w:val="20"/>
              </w:rPr>
              <w:t xml:space="preserve"> </w:t>
            </w:r>
            <w:r w:rsidRPr="00655969">
              <w:rPr>
                <w:sz w:val="20"/>
                <w:szCs w:val="20"/>
              </w:rPr>
              <w:t>President</w:t>
            </w:r>
          </w:p>
        </w:tc>
      </w:tr>
    </w:tbl>
    <w:p w:rsidR="002027EA" w:rsidRDefault="002027EA" w:rsidP="00DA4716">
      <w:pPr>
        <w:spacing w:after="0" w:line="240" w:lineRule="auto"/>
        <w:rPr>
          <w:b/>
          <w:sz w:val="20"/>
          <w:szCs w:val="20"/>
        </w:rPr>
      </w:pPr>
    </w:p>
    <w:sectPr w:rsidR="002027EA" w:rsidSect="009536BC">
      <w:pgSz w:w="12240" w:h="15840"/>
      <w:pgMar w:top="630" w:right="720" w:bottom="450" w:left="10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164D7"/>
    <w:rsid w:val="000072DF"/>
    <w:rsid w:val="000700C7"/>
    <w:rsid w:val="00074E1E"/>
    <w:rsid w:val="0007717A"/>
    <w:rsid w:val="00097119"/>
    <w:rsid w:val="000A26FD"/>
    <w:rsid w:val="000A3A32"/>
    <w:rsid w:val="000C0311"/>
    <w:rsid w:val="000C6E03"/>
    <w:rsid w:val="000D7F23"/>
    <w:rsid w:val="0010442F"/>
    <w:rsid w:val="00112ABF"/>
    <w:rsid w:val="0016702B"/>
    <w:rsid w:val="001876DC"/>
    <w:rsid w:val="001B0CF9"/>
    <w:rsid w:val="001B105F"/>
    <w:rsid w:val="001E14E0"/>
    <w:rsid w:val="002027EA"/>
    <w:rsid w:val="00225C54"/>
    <w:rsid w:val="002468A3"/>
    <w:rsid w:val="002648E2"/>
    <w:rsid w:val="002861D8"/>
    <w:rsid w:val="002D0CAC"/>
    <w:rsid w:val="002D3125"/>
    <w:rsid w:val="0030216D"/>
    <w:rsid w:val="0031166F"/>
    <w:rsid w:val="00316D06"/>
    <w:rsid w:val="00320933"/>
    <w:rsid w:val="003246B9"/>
    <w:rsid w:val="00327260"/>
    <w:rsid w:val="00334486"/>
    <w:rsid w:val="00342D90"/>
    <w:rsid w:val="00390703"/>
    <w:rsid w:val="003D2C6B"/>
    <w:rsid w:val="0045420D"/>
    <w:rsid w:val="004718CE"/>
    <w:rsid w:val="00473818"/>
    <w:rsid w:val="004927BC"/>
    <w:rsid w:val="004B4F00"/>
    <w:rsid w:val="004B6726"/>
    <w:rsid w:val="00526E87"/>
    <w:rsid w:val="00552CFF"/>
    <w:rsid w:val="00571901"/>
    <w:rsid w:val="005A4ACE"/>
    <w:rsid w:val="006164D7"/>
    <w:rsid w:val="00655969"/>
    <w:rsid w:val="00663EAA"/>
    <w:rsid w:val="0068708E"/>
    <w:rsid w:val="0068717E"/>
    <w:rsid w:val="007034D7"/>
    <w:rsid w:val="007317B0"/>
    <w:rsid w:val="007411F1"/>
    <w:rsid w:val="0074674C"/>
    <w:rsid w:val="00754114"/>
    <w:rsid w:val="007737BF"/>
    <w:rsid w:val="007879E2"/>
    <w:rsid w:val="007A4DDD"/>
    <w:rsid w:val="007E1C21"/>
    <w:rsid w:val="008034F0"/>
    <w:rsid w:val="00821857"/>
    <w:rsid w:val="00825748"/>
    <w:rsid w:val="00836FEF"/>
    <w:rsid w:val="008E2DE3"/>
    <w:rsid w:val="008F2B94"/>
    <w:rsid w:val="008F4DDB"/>
    <w:rsid w:val="00905B93"/>
    <w:rsid w:val="0090791E"/>
    <w:rsid w:val="009175E5"/>
    <w:rsid w:val="009536BC"/>
    <w:rsid w:val="00974885"/>
    <w:rsid w:val="00982471"/>
    <w:rsid w:val="009C0C98"/>
    <w:rsid w:val="009D0939"/>
    <w:rsid w:val="009D32E1"/>
    <w:rsid w:val="009D4857"/>
    <w:rsid w:val="009D6EC7"/>
    <w:rsid w:val="009E0774"/>
    <w:rsid w:val="009F21F4"/>
    <w:rsid w:val="00A01628"/>
    <w:rsid w:val="00A61CFF"/>
    <w:rsid w:val="00A622FE"/>
    <w:rsid w:val="00A632CF"/>
    <w:rsid w:val="00A87371"/>
    <w:rsid w:val="00A87E48"/>
    <w:rsid w:val="00A903A6"/>
    <w:rsid w:val="00AC32D8"/>
    <w:rsid w:val="00AD23BD"/>
    <w:rsid w:val="00B07024"/>
    <w:rsid w:val="00B15A96"/>
    <w:rsid w:val="00B209B6"/>
    <w:rsid w:val="00B3498B"/>
    <w:rsid w:val="00B35409"/>
    <w:rsid w:val="00B85603"/>
    <w:rsid w:val="00B9165B"/>
    <w:rsid w:val="00BA4CEA"/>
    <w:rsid w:val="00BA7A21"/>
    <w:rsid w:val="00BB434C"/>
    <w:rsid w:val="00BE5F74"/>
    <w:rsid w:val="00BF0765"/>
    <w:rsid w:val="00C32F64"/>
    <w:rsid w:val="00C35AA7"/>
    <w:rsid w:val="00CD536A"/>
    <w:rsid w:val="00CE664B"/>
    <w:rsid w:val="00D4457F"/>
    <w:rsid w:val="00D4465D"/>
    <w:rsid w:val="00D8072B"/>
    <w:rsid w:val="00D87D19"/>
    <w:rsid w:val="00DA34CA"/>
    <w:rsid w:val="00DA4716"/>
    <w:rsid w:val="00E151CA"/>
    <w:rsid w:val="00E54DC2"/>
    <w:rsid w:val="00E54E0F"/>
    <w:rsid w:val="00E57EB2"/>
    <w:rsid w:val="00F07464"/>
    <w:rsid w:val="00F309BC"/>
    <w:rsid w:val="00F358E0"/>
    <w:rsid w:val="00F513C0"/>
    <w:rsid w:val="00F73BA0"/>
    <w:rsid w:val="00F81BF7"/>
    <w:rsid w:val="00FA6174"/>
    <w:rsid w:val="00FF69CC"/>
    <w:rsid w:val="00FF6F6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32C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164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916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165B"/>
    <w:rPr>
      <w:rFonts w:ascii="Tahoma" w:hAnsi="Tahoma" w:cs="Tahoma"/>
      <w:sz w:val="16"/>
      <w:szCs w:val="16"/>
    </w:rPr>
  </w:style>
  <w:style w:type="character" w:styleId="Hyperlink">
    <w:name w:val="Hyperlink"/>
    <w:basedOn w:val="DefaultParagraphFont"/>
    <w:uiPriority w:val="99"/>
    <w:unhideWhenUsed/>
    <w:rsid w:val="00A87371"/>
    <w:rPr>
      <w:color w:val="0000FF" w:themeColor="hyperlink"/>
      <w:u w:val="single"/>
    </w:rPr>
  </w:style>
  <w:style w:type="paragraph" w:styleId="NoSpacing">
    <w:name w:val="No Spacing"/>
    <w:uiPriority w:val="1"/>
    <w:qFormat/>
    <w:rsid w:val="00A87371"/>
    <w:pPr>
      <w:spacing w:after="0" w:line="240" w:lineRule="auto"/>
    </w:pPr>
  </w:style>
  <w:style w:type="paragraph" w:customStyle="1" w:styleId="Default">
    <w:name w:val="Default"/>
    <w:rsid w:val="004718CE"/>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9547022">
      <w:bodyDiv w:val="1"/>
      <w:marLeft w:val="0"/>
      <w:marRight w:val="0"/>
      <w:marTop w:val="0"/>
      <w:marBottom w:val="0"/>
      <w:divBdr>
        <w:top w:val="none" w:sz="0" w:space="0" w:color="auto"/>
        <w:left w:val="none" w:sz="0" w:space="0" w:color="auto"/>
        <w:bottom w:val="none" w:sz="0" w:space="0" w:color="auto"/>
        <w:right w:val="none" w:sz="0" w:space="0" w:color="auto"/>
      </w:divBdr>
    </w:div>
    <w:div w:id="482309910">
      <w:bodyDiv w:val="1"/>
      <w:marLeft w:val="0"/>
      <w:marRight w:val="0"/>
      <w:marTop w:val="0"/>
      <w:marBottom w:val="0"/>
      <w:divBdr>
        <w:top w:val="none" w:sz="0" w:space="0" w:color="auto"/>
        <w:left w:val="none" w:sz="0" w:space="0" w:color="auto"/>
        <w:bottom w:val="none" w:sz="0" w:space="0" w:color="auto"/>
        <w:right w:val="none" w:sz="0" w:space="0" w:color="auto"/>
      </w:divBdr>
    </w:div>
    <w:div w:id="1064140259">
      <w:bodyDiv w:val="1"/>
      <w:marLeft w:val="0"/>
      <w:marRight w:val="0"/>
      <w:marTop w:val="0"/>
      <w:marBottom w:val="0"/>
      <w:divBdr>
        <w:top w:val="none" w:sz="0" w:space="0" w:color="auto"/>
        <w:left w:val="none" w:sz="0" w:space="0" w:color="auto"/>
        <w:bottom w:val="none" w:sz="0" w:space="0" w:color="auto"/>
        <w:right w:val="none" w:sz="0" w:space="0" w:color="auto"/>
      </w:divBdr>
    </w:div>
    <w:div w:id="1263684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emf"/><Relationship Id="rId11"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hyperlink" Target="http://www.blackcanyonconferencecenter.com" TargetMode="External"/><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1058</Words>
  <Characters>6031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Apollo Group, Inc.</Company>
  <LinksUpToDate>false</LinksUpToDate>
  <CharactersWithSpaces>7075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Apollo Group User</dc:creator>
  <cp:lastModifiedBy>Apollo Group User</cp:lastModifiedBy>
  <cp:revision>7</cp:revision>
  <dcterms:created xsi:type="dcterms:W3CDTF">2012-10-01T14:23:00Z</dcterms:created>
  <dcterms:modified xsi:type="dcterms:W3CDTF">2012-10-01T14:44:00Z</dcterms:modified>
</cp:coreProperties>
</file>